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0D5FF3"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WG1 Meeting #86</w:t>
      </w:r>
      <w:r w:rsidR="00DF219B">
        <w:rPr>
          <w:rFonts w:ascii="Arial" w:hAnsi="Arial" w:cs="Arial"/>
          <w:b/>
          <w:bCs/>
          <w:sz w:val="22"/>
          <w:lang w:val="en-GB"/>
        </w:rPr>
        <w:t>b</w:t>
      </w:r>
      <w:r w:rsidR="00A569A4" w:rsidRPr="00525CF4">
        <w:rPr>
          <w:rFonts w:ascii="Arial" w:hAnsi="Arial" w:cs="Arial"/>
          <w:b/>
          <w:bCs/>
          <w:sz w:val="22"/>
          <w:lang w:val="en-GB"/>
        </w:rPr>
        <w:t xml:space="preserve"> </w:t>
      </w:r>
      <w:r w:rsidR="00DF219B">
        <w:rPr>
          <w:rFonts w:ascii="Arial" w:hAnsi="Arial" w:cs="Arial"/>
          <w:b/>
          <w:bCs/>
          <w:sz w:val="22"/>
          <w:lang w:val="en-GB"/>
        </w:rPr>
        <w:t xml:space="preserve">                         </w:t>
      </w:r>
      <w:r w:rsidR="00585079">
        <w:rPr>
          <w:rFonts w:ascii="Arial" w:hAnsi="Arial" w:cs="Arial"/>
          <w:b/>
          <w:bCs/>
          <w:sz w:val="22"/>
          <w:lang w:val="en-GB"/>
        </w:rPr>
        <w:t xml:space="preserve">   </w:t>
      </w:r>
      <w:r w:rsidR="00DF219B">
        <w:rPr>
          <w:rFonts w:ascii="Arial" w:hAnsi="Arial" w:cs="Arial"/>
          <w:b/>
          <w:bCs/>
          <w:sz w:val="22"/>
          <w:lang w:val="en-GB"/>
        </w:rPr>
        <w:t xml:space="preserve"> </w:t>
      </w:r>
      <w:r w:rsidR="00DB292F">
        <w:rPr>
          <w:rFonts w:ascii="Arial" w:hAnsi="Arial" w:cs="Arial" w:hint="eastAsia"/>
          <w:b/>
          <w:bCs/>
          <w:sz w:val="22"/>
          <w:lang w:val="en-GB"/>
        </w:rPr>
        <w:t xml:space="preserve"> </w:t>
      </w:r>
      <w:r w:rsidR="00DF219B">
        <w:rPr>
          <w:rFonts w:ascii="Arial" w:hAnsi="Arial" w:cs="Arial"/>
          <w:b/>
          <w:bCs/>
          <w:sz w:val="22"/>
          <w:lang w:val="en-GB"/>
        </w:rPr>
        <w:t xml:space="preserve">    </w:t>
      </w:r>
      <w:r w:rsidR="00B87244">
        <w:rPr>
          <w:rFonts w:ascii="Arial" w:hAnsi="Arial" w:cs="Arial"/>
          <w:b/>
          <w:bCs/>
          <w:sz w:val="22"/>
          <w:lang w:val="en-GB"/>
        </w:rPr>
        <w:t>R1-</w:t>
      </w:r>
      <w:r w:rsidR="00765BB9">
        <w:rPr>
          <w:rFonts w:ascii="Arial" w:hAnsi="Arial" w:cs="Arial" w:hint="eastAsia"/>
          <w:b/>
          <w:bCs/>
          <w:sz w:val="22"/>
          <w:lang w:val="en-GB"/>
        </w:rPr>
        <w:t>16</w:t>
      </w:r>
      <w:r w:rsidR="00077251">
        <w:rPr>
          <w:rFonts w:ascii="Arial" w:hAnsi="Arial" w:cs="Arial"/>
          <w:b/>
          <w:bCs/>
          <w:sz w:val="22"/>
          <w:lang w:val="en-GB"/>
        </w:rPr>
        <w:t>08970</w:t>
      </w:r>
      <w:r w:rsidR="00A569A4" w:rsidRPr="00525CF4">
        <w:rPr>
          <w:rFonts w:ascii="Arial" w:hAnsi="Arial" w:cs="Arial" w:hint="eastAsia"/>
          <w:b/>
          <w:bCs/>
          <w:sz w:val="22"/>
          <w:lang w:val="en-GB"/>
        </w:rPr>
        <w:t xml:space="preserve"> </w:t>
      </w:r>
    </w:p>
    <w:p w:rsidR="00A569A4" w:rsidRPr="00525CF4" w:rsidRDefault="00DF219B" w:rsidP="00A569A4">
      <w:pPr>
        <w:widowControl w:val="0"/>
        <w:autoSpaceDE w:val="0"/>
        <w:autoSpaceDN w:val="0"/>
        <w:spacing w:after="240" w:line="240" w:lineRule="auto"/>
        <w:outlineLvl w:val="0"/>
        <w:rPr>
          <w:rFonts w:ascii="Arial" w:hAnsi="Arial" w:cs="Arial"/>
          <w:b/>
          <w:bCs/>
          <w:sz w:val="22"/>
          <w:lang w:val="en-GB"/>
        </w:rPr>
      </w:pPr>
      <w:r>
        <w:rPr>
          <w:rFonts w:ascii="Arial" w:hAnsi="Arial" w:cs="Arial"/>
          <w:b/>
          <w:bCs/>
          <w:sz w:val="22"/>
          <w:lang w:val="en-GB"/>
        </w:rPr>
        <w:t>Lisbon</w:t>
      </w:r>
      <w:r w:rsidR="00B87244">
        <w:rPr>
          <w:rFonts w:ascii="Arial" w:hAnsi="Arial" w:cs="Arial"/>
          <w:b/>
          <w:bCs/>
          <w:sz w:val="22"/>
          <w:lang w:val="en-GB"/>
        </w:rPr>
        <w:t xml:space="preserve">, </w:t>
      </w:r>
      <w:r>
        <w:rPr>
          <w:rFonts w:ascii="Arial" w:hAnsi="Arial" w:cs="Arial"/>
          <w:b/>
          <w:bCs/>
          <w:sz w:val="22"/>
          <w:lang w:val="en-GB"/>
        </w:rPr>
        <w:t>Portugal</w:t>
      </w:r>
      <w:r w:rsidR="00D82A53">
        <w:rPr>
          <w:rFonts w:ascii="Arial" w:hAnsi="Arial" w:cs="Arial"/>
          <w:b/>
          <w:bCs/>
          <w:sz w:val="22"/>
          <w:lang w:val="en-GB"/>
        </w:rPr>
        <w:t xml:space="preserve">, </w:t>
      </w:r>
      <w:r>
        <w:rPr>
          <w:rFonts w:ascii="Arial" w:hAnsi="Arial" w:cs="Arial"/>
          <w:b/>
          <w:bCs/>
          <w:sz w:val="22"/>
          <w:lang w:val="en-GB"/>
        </w:rPr>
        <w:t>10th</w:t>
      </w:r>
      <w:r w:rsidR="00A569A4" w:rsidRPr="00525CF4">
        <w:rPr>
          <w:rFonts w:ascii="Arial" w:hAnsi="Arial" w:cs="Arial"/>
          <w:b/>
          <w:bCs/>
          <w:sz w:val="22"/>
          <w:lang w:val="en-GB"/>
        </w:rPr>
        <w:t xml:space="preserve"> - </w:t>
      </w:r>
      <w:r>
        <w:rPr>
          <w:rFonts w:ascii="Arial" w:hAnsi="Arial" w:cs="Arial"/>
          <w:b/>
          <w:bCs/>
          <w:sz w:val="22"/>
          <w:lang w:val="en-GB"/>
        </w:rPr>
        <w:t>14</w:t>
      </w:r>
      <w:r w:rsidR="00A569A4">
        <w:rPr>
          <w:rFonts w:ascii="Arial" w:hAnsi="Arial" w:cs="Arial"/>
          <w:b/>
          <w:bCs/>
          <w:sz w:val="22"/>
          <w:lang w:val="en-GB"/>
        </w:rPr>
        <w:t>th</w:t>
      </w:r>
      <w:r w:rsidR="00A569A4" w:rsidRPr="00525CF4">
        <w:rPr>
          <w:rFonts w:ascii="Arial" w:hAnsi="Arial" w:cs="Arial"/>
          <w:b/>
          <w:bCs/>
          <w:sz w:val="22"/>
          <w:lang w:val="en-GB"/>
        </w:rPr>
        <w:t xml:space="preserve"> </w:t>
      </w:r>
      <w:r>
        <w:rPr>
          <w:rFonts w:ascii="Arial" w:hAnsi="Arial" w:cs="Arial"/>
          <w:b/>
          <w:bCs/>
          <w:sz w:val="22"/>
          <w:lang w:val="en-GB"/>
        </w:rPr>
        <w:t>October</w:t>
      </w:r>
      <w:r w:rsidR="00A569A4" w:rsidRPr="00525CF4">
        <w:rPr>
          <w:rFonts w:ascii="Arial" w:hAnsi="Arial" w:cs="Arial"/>
          <w:b/>
          <w:bCs/>
          <w:sz w:val="22"/>
          <w:lang w:val="en-GB"/>
        </w:rPr>
        <w:t xml:space="preserve"> 201</w:t>
      </w:r>
      <w:r w:rsidR="00A569A4">
        <w:rPr>
          <w:rFonts w:ascii="Arial" w:hAnsi="Arial" w:cs="Arial"/>
          <w:b/>
          <w:bCs/>
          <w:sz w:val="22"/>
          <w:lang w:val="en-GB"/>
        </w:rPr>
        <w:t>6</w:t>
      </w: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r w:rsidR="00921D45" w:rsidRPr="00921D45">
        <w:rPr>
          <w:rFonts w:ascii="Arial" w:hAnsi="Arial" w:cs="Arial"/>
          <w:b/>
          <w:bCs/>
          <w:sz w:val="22"/>
          <w:lang w:val="en-GB"/>
        </w:rPr>
        <w:t>, ZTE Microelectronics</w:t>
      </w:r>
    </w:p>
    <w:p w:rsidR="00A569A4" w:rsidRPr="00525CF4" w:rsidRDefault="00A569A4" w:rsidP="009810AE">
      <w:pPr>
        <w:widowControl w:val="0"/>
        <w:autoSpaceDE w:val="0"/>
        <w:autoSpaceDN w:val="0"/>
        <w:spacing w:line="240" w:lineRule="auto"/>
        <w:ind w:left="1698" w:hangingChars="769" w:hanging="1698"/>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8721F4">
        <w:rPr>
          <w:rFonts w:ascii="Arial" w:hAnsi="Arial" w:cs="Arial"/>
          <w:b/>
          <w:bCs/>
          <w:sz w:val="22"/>
          <w:lang w:val="en-GB"/>
        </w:rPr>
        <w:t xml:space="preserve">Idle and </w:t>
      </w:r>
      <w:r w:rsidR="007971F0">
        <w:rPr>
          <w:rFonts w:ascii="Arial" w:hAnsi="Arial" w:cs="Arial"/>
          <w:b/>
          <w:bCs/>
          <w:sz w:val="22"/>
          <w:lang w:val="en-GB"/>
        </w:rPr>
        <w:t>C</w:t>
      </w:r>
      <w:r w:rsidR="008721F4">
        <w:rPr>
          <w:rFonts w:ascii="Arial" w:hAnsi="Arial" w:cs="Arial"/>
          <w:b/>
          <w:bCs/>
          <w:sz w:val="22"/>
          <w:lang w:val="en-GB"/>
        </w:rPr>
        <w:t xml:space="preserve">onnected </w:t>
      </w:r>
      <w:r w:rsidR="007971F0">
        <w:rPr>
          <w:rFonts w:ascii="Arial" w:hAnsi="Arial" w:cs="Arial"/>
          <w:b/>
          <w:bCs/>
          <w:sz w:val="22"/>
          <w:lang w:val="en-GB"/>
        </w:rPr>
        <w:t>M</w:t>
      </w:r>
      <w:r w:rsidR="008721F4">
        <w:rPr>
          <w:rFonts w:ascii="Arial" w:hAnsi="Arial" w:cs="Arial"/>
          <w:b/>
          <w:bCs/>
          <w:sz w:val="22"/>
          <w:lang w:val="en-GB"/>
        </w:rPr>
        <w:t xml:space="preserve">ode </w:t>
      </w:r>
      <w:r w:rsidR="007971F0">
        <w:rPr>
          <w:rFonts w:ascii="Arial" w:hAnsi="Arial" w:cs="Arial"/>
          <w:b/>
          <w:bCs/>
          <w:sz w:val="22"/>
          <w:lang w:val="en-GB"/>
        </w:rPr>
        <w:t>M</w:t>
      </w:r>
      <w:r w:rsidR="008721F4">
        <w:rPr>
          <w:rFonts w:ascii="Arial" w:hAnsi="Arial" w:cs="Arial"/>
          <w:b/>
          <w:bCs/>
          <w:sz w:val="22"/>
          <w:lang w:val="en-GB"/>
        </w:rPr>
        <w:t>obility in NR</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0E3FBD">
        <w:rPr>
          <w:rFonts w:ascii="Arial" w:hAnsi="Arial" w:cs="Arial"/>
          <w:b/>
          <w:bCs/>
          <w:sz w:val="22"/>
          <w:lang w:val="en-GB"/>
        </w:rPr>
        <w:t>8.1.</w:t>
      </w:r>
      <w:r w:rsidR="0044782C">
        <w:rPr>
          <w:rFonts w:ascii="Arial" w:hAnsi="Arial" w:cs="Arial" w:hint="eastAsia"/>
          <w:b/>
          <w:bCs/>
          <w:sz w:val="22"/>
          <w:lang w:val="en-GB"/>
        </w:rPr>
        <w:t>5</w:t>
      </w:r>
      <w:r w:rsidR="00B05888">
        <w:rPr>
          <w:rFonts w:ascii="Arial" w:hAnsi="Arial" w:cs="Arial"/>
          <w:b/>
          <w:bCs/>
          <w:sz w:val="22"/>
          <w:lang w:val="en-GB"/>
        </w:rPr>
        <w:t>.</w:t>
      </w:r>
      <w:r w:rsidR="008721F4">
        <w:rPr>
          <w:rFonts w:ascii="Arial" w:hAnsi="Arial" w:cs="Arial"/>
          <w:b/>
          <w:bCs/>
          <w:sz w:val="22"/>
          <w:lang w:val="en-GB"/>
        </w:rPr>
        <w:t>3</w:t>
      </w:r>
    </w:p>
    <w:p w:rsidR="00A569A4" w:rsidRPr="00525CF4" w:rsidRDefault="00A569A4" w:rsidP="00A569A4">
      <w:pPr>
        <w:pBdr>
          <w:bottom w:val="single" w:sz="4" w:space="1" w:color="auto"/>
        </w:pBd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2613D1">
      <w:pPr>
        <w:pStyle w:val="Heading2"/>
        <w:numPr>
          <w:ilvl w:val="0"/>
          <w:numId w:val="12"/>
        </w:numPr>
        <w:spacing w:before="60" w:after="60"/>
      </w:pPr>
      <w:r>
        <w:t>Introduction</w:t>
      </w:r>
    </w:p>
    <w:p w:rsidR="00724B15" w:rsidRDefault="00157DF3" w:rsidP="002613D1">
      <w:pPr>
        <w:adjustRightInd/>
        <w:snapToGrid w:val="0"/>
        <w:spacing w:after="120" w:line="264" w:lineRule="auto"/>
        <w:jc w:val="both"/>
      </w:pPr>
      <w:r>
        <w:t>Even though the different UE states in NR</w:t>
      </w:r>
      <w:r w:rsidR="00710C7C">
        <w:t>, as well as mobility aspects in those states,</w:t>
      </w:r>
      <w:r>
        <w:t xml:space="preserve"> are yet to be agreed in RAN2, there is an ongoing discussion and several related agreements.</w:t>
      </w:r>
    </w:p>
    <w:p w:rsidR="00BD42C1" w:rsidRDefault="009A5D9D" w:rsidP="002613D1">
      <w:pPr>
        <w:adjustRightInd/>
        <w:snapToGrid w:val="0"/>
        <w:spacing w:after="120" w:line="264" w:lineRule="auto"/>
        <w:jc w:val="both"/>
      </w:pPr>
      <w:r>
        <w:t>RAN2#94</w:t>
      </w:r>
      <w:r w:rsidR="00801107">
        <w:fldChar w:fldCharType="begin"/>
      </w:r>
      <w:r>
        <w:instrText xml:space="preserve"> REF _Ref462778606 \n \h </w:instrText>
      </w:r>
      <w:r w:rsidR="00801107">
        <w:fldChar w:fldCharType="separate"/>
      </w:r>
      <w:r>
        <w:t>[1]</w:t>
      </w:r>
      <w:r w:rsidR="00801107">
        <w:fldChar w:fldCharType="end"/>
      </w:r>
      <w:r w:rsidR="00BD42C1">
        <w:t>:</w:t>
      </w:r>
    </w:p>
    <w:p w:rsidR="00724B15" w:rsidRPr="00BD42C1" w:rsidRDefault="00724B15" w:rsidP="00724B15">
      <w:pPr>
        <w:pStyle w:val="Doc-text2"/>
        <w:pBdr>
          <w:top w:val="single" w:sz="4" w:space="1" w:color="auto"/>
          <w:left w:val="single" w:sz="4" w:space="4" w:color="auto"/>
          <w:bottom w:val="single" w:sz="4" w:space="1" w:color="auto"/>
          <w:right w:val="single" w:sz="4" w:space="4" w:color="auto"/>
        </w:pBdr>
        <w:rPr>
          <w:sz w:val="16"/>
        </w:rPr>
      </w:pPr>
      <w:r w:rsidRPr="00BD42C1">
        <w:rPr>
          <w:sz w:val="16"/>
        </w:rPr>
        <w:t>Agreements:</w:t>
      </w:r>
    </w:p>
    <w:p w:rsidR="00724B15" w:rsidRPr="00BD42C1" w:rsidRDefault="00724B15" w:rsidP="00724B15">
      <w:pPr>
        <w:pStyle w:val="Doc-text2"/>
        <w:pBdr>
          <w:top w:val="single" w:sz="4" w:space="1" w:color="auto"/>
          <w:left w:val="single" w:sz="4" w:space="4" w:color="auto"/>
          <w:bottom w:val="single" w:sz="4" w:space="1" w:color="auto"/>
          <w:right w:val="single" w:sz="4" w:space="4" w:color="auto"/>
        </w:pBdr>
        <w:rPr>
          <w:sz w:val="16"/>
        </w:rPr>
      </w:pPr>
      <w:r w:rsidRPr="00BD42C1">
        <w:rPr>
          <w:sz w:val="16"/>
        </w:rPr>
        <w:tab/>
        <w:t>1 NR eNB corresponds to 1 or many TRPs</w:t>
      </w:r>
    </w:p>
    <w:p w:rsidR="00724B15" w:rsidRPr="00BD42C1" w:rsidRDefault="00724B15" w:rsidP="00724B15">
      <w:pPr>
        <w:pStyle w:val="Doc-text2"/>
        <w:pBdr>
          <w:top w:val="single" w:sz="4" w:space="1" w:color="auto"/>
          <w:left w:val="single" w:sz="4" w:space="4" w:color="auto"/>
          <w:bottom w:val="single" w:sz="4" w:space="1" w:color="auto"/>
          <w:right w:val="single" w:sz="4" w:space="4" w:color="auto"/>
        </w:pBdr>
        <w:rPr>
          <w:sz w:val="16"/>
        </w:rPr>
      </w:pPr>
    </w:p>
    <w:p w:rsidR="00724B15" w:rsidRPr="00BD42C1" w:rsidRDefault="00724B15" w:rsidP="00724B15">
      <w:pPr>
        <w:pStyle w:val="Doc-text2"/>
        <w:pBdr>
          <w:top w:val="single" w:sz="4" w:space="1" w:color="auto"/>
          <w:left w:val="single" w:sz="4" w:space="4" w:color="auto"/>
          <w:bottom w:val="single" w:sz="4" w:space="1" w:color="auto"/>
          <w:right w:val="single" w:sz="4" w:space="4" w:color="auto"/>
        </w:pBdr>
        <w:rPr>
          <w:sz w:val="16"/>
        </w:rPr>
      </w:pPr>
      <w:r w:rsidRPr="00BD42C1">
        <w:rPr>
          <w:sz w:val="16"/>
        </w:rPr>
        <w:t>Agreed requirements</w:t>
      </w:r>
    </w:p>
    <w:p w:rsidR="00724B15" w:rsidRPr="00BD42C1" w:rsidRDefault="00724B15" w:rsidP="00724B15">
      <w:pPr>
        <w:pStyle w:val="Doc-text2"/>
        <w:pBdr>
          <w:top w:val="single" w:sz="4" w:space="1" w:color="auto"/>
          <w:left w:val="single" w:sz="4" w:space="4" w:color="auto"/>
          <w:bottom w:val="single" w:sz="4" w:space="1" w:color="auto"/>
          <w:right w:val="single" w:sz="4" w:space="4" w:color="auto"/>
        </w:pBdr>
        <w:rPr>
          <w:sz w:val="16"/>
        </w:rPr>
      </w:pPr>
      <w:r w:rsidRPr="00BD42C1">
        <w:rPr>
          <w:sz w:val="16"/>
        </w:rPr>
        <w:tab/>
        <w:t xml:space="preserve">2: </w:t>
      </w:r>
      <w:r w:rsidRPr="00BD42C1">
        <w:rPr>
          <w:sz w:val="16"/>
        </w:rPr>
        <w:tab/>
        <w:t>As baseline, NR shall support a state with network controlled mobility handling and a state with UE controlled mobility.</w:t>
      </w:r>
    </w:p>
    <w:p w:rsidR="00724B15" w:rsidRPr="00BD42C1" w:rsidRDefault="00724B15" w:rsidP="00724B15">
      <w:pPr>
        <w:pStyle w:val="Doc-text2"/>
        <w:pBdr>
          <w:top w:val="single" w:sz="4" w:space="1" w:color="auto"/>
          <w:left w:val="single" w:sz="4" w:space="4" w:color="auto"/>
          <w:bottom w:val="single" w:sz="4" w:space="1" w:color="auto"/>
          <w:right w:val="single" w:sz="4" w:space="4" w:color="auto"/>
        </w:pBdr>
        <w:rPr>
          <w:sz w:val="16"/>
        </w:rPr>
      </w:pPr>
      <w:r w:rsidRPr="00BD42C1">
        <w:rPr>
          <w:sz w:val="16"/>
        </w:rPr>
        <w:tab/>
        <w:t xml:space="preserve">3: </w:t>
      </w:r>
      <w:r w:rsidRPr="00BD42C1">
        <w:rPr>
          <w:sz w:val="16"/>
        </w:rPr>
        <w:tab/>
        <w:t>For typical NR inter-eNB network controlled mobility, minimise the required measurement configuration to be provided to the UE to configure measurements (e.g. avoid the need to provide detailed 'cell' level information). More detailed information may be provided to address some cases.</w:t>
      </w:r>
    </w:p>
    <w:p w:rsidR="00724B15" w:rsidRPr="00BD42C1" w:rsidRDefault="00724B15" w:rsidP="00724B15">
      <w:pPr>
        <w:pStyle w:val="Doc-text2"/>
        <w:pBdr>
          <w:top w:val="single" w:sz="4" w:space="1" w:color="auto"/>
          <w:left w:val="single" w:sz="4" w:space="4" w:color="auto"/>
          <w:bottom w:val="single" w:sz="4" w:space="1" w:color="auto"/>
          <w:right w:val="single" w:sz="4" w:space="4" w:color="auto"/>
        </w:pBdr>
        <w:rPr>
          <w:sz w:val="16"/>
        </w:rPr>
      </w:pPr>
      <w:r w:rsidRPr="00BD42C1">
        <w:rPr>
          <w:sz w:val="16"/>
        </w:rPr>
        <w:tab/>
        <w:t>4</w:t>
      </w:r>
      <w:r w:rsidRPr="00BD42C1">
        <w:rPr>
          <w:sz w:val="16"/>
        </w:rPr>
        <w:tab/>
        <w:t>Minimise context move as a consequence of UE based mobility.</w:t>
      </w:r>
    </w:p>
    <w:p w:rsidR="00724B15" w:rsidRPr="00BD42C1" w:rsidRDefault="00724B15" w:rsidP="009E555F">
      <w:pPr>
        <w:adjustRightInd/>
        <w:snapToGrid w:val="0"/>
        <w:spacing w:after="120"/>
        <w:jc w:val="both"/>
        <w:rPr>
          <w:sz w:val="2"/>
          <w:lang w:val="en-GB"/>
        </w:rPr>
      </w:pPr>
    </w:p>
    <w:p w:rsidR="00BD42C1" w:rsidRPr="00BD42C1" w:rsidRDefault="00BD42C1" w:rsidP="00BD42C1">
      <w:pPr>
        <w:pStyle w:val="Doc-text2"/>
        <w:pBdr>
          <w:top w:val="single" w:sz="4" w:space="1" w:color="auto"/>
          <w:left w:val="single" w:sz="4" w:space="4" w:color="auto"/>
          <w:bottom w:val="single" w:sz="4" w:space="1" w:color="auto"/>
          <w:right w:val="single" w:sz="4" w:space="4" w:color="auto"/>
        </w:pBdr>
        <w:rPr>
          <w:sz w:val="16"/>
        </w:rPr>
      </w:pPr>
      <w:r w:rsidRPr="00BD42C1">
        <w:rPr>
          <w:sz w:val="16"/>
        </w:rPr>
        <w:t>Agreements</w:t>
      </w:r>
    </w:p>
    <w:p w:rsidR="00BD42C1" w:rsidRPr="00BD42C1" w:rsidRDefault="00BD42C1" w:rsidP="00BD42C1">
      <w:pPr>
        <w:pStyle w:val="Doc-text2"/>
        <w:pBdr>
          <w:top w:val="single" w:sz="4" w:space="1" w:color="auto"/>
          <w:left w:val="single" w:sz="4" w:space="4" w:color="auto"/>
          <w:bottom w:val="single" w:sz="4" w:space="1" w:color="auto"/>
          <w:right w:val="single" w:sz="4" w:space="4" w:color="auto"/>
        </w:pBdr>
        <w:rPr>
          <w:sz w:val="16"/>
        </w:rPr>
      </w:pPr>
      <w:r w:rsidRPr="00BD42C1">
        <w:rPr>
          <w:sz w:val="16"/>
        </w:rPr>
        <w:t>Two levels of network controlled mobility:</w:t>
      </w:r>
    </w:p>
    <w:p w:rsidR="00BD42C1" w:rsidRPr="00BD42C1" w:rsidRDefault="00BD42C1" w:rsidP="00BD42C1">
      <w:pPr>
        <w:pStyle w:val="Doc-text2"/>
        <w:pBdr>
          <w:top w:val="single" w:sz="4" w:space="1" w:color="auto"/>
          <w:left w:val="single" w:sz="4" w:space="4" w:color="auto"/>
          <w:bottom w:val="single" w:sz="4" w:space="1" w:color="auto"/>
          <w:right w:val="single" w:sz="4" w:space="4" w:color="auto"/>
        </w:pBdr>
        <w:rPr>
          <w:sz w:val="16"/>
        </w:rPr>
      </w:pPr>
      <w:r w:rsidRPr="00BD42C1">
        <w:rPr>
          <w:sz w:val="16"/>
        </w:rPr>
        <w:t>1: RRC driven at 'cell' level.</w:t>
      </w:r>
    </w:p>
    <w:p w:rsidR="00BD42C1" w:rsidRPr="00BD42C1" w:rsidRDefault="00BD42C1" w:rsidP="00BD42C1">
      <w:pPr>
        <w:pStyle w:val="Doc-text2"/>
        <w:pBdr>
          <w:top w:val="single" w:sz="4" w:space="1" w:color="auto"/>
          <w:left w:val="single" w:sz="4" w:space="4" w:color="auto"/>
          <w:bottom w:val="single" w:sz="4" w:space="1" w:color="auto"/>
          <w:right w:val="single" w:sz="4" w:space="4" w:color="auto"/>
        </w:pBdr>
        <w:rPr>
          <w:sz w:val="16"/>
        </w:rPr>
      </w:pPr>
      <w:r w:rsidRPr="00BD42C1">
        <w:rPr>
          <w:sz w:val="16"/>
        </w:rPr>
        <w:t xml:space="preserve">2: Zero/Minimum RRC  involvement (e.g. at MAC /PHY) </w:t>
      </w:r>
    </w:p>
    <w:p w:rsidR="00BD42C1" w:rsidRPr="00BD42C1" w:rsidRDefault="00BD42C1" w:rsidP="00BD42C1">
      <w:pPr>
        <w:pStyle w:val="Doc-text2"/>
        <w:pBdr>
          <w:top w:val="single" w:sz="4" w:space="1" w:color="auto"/>
          <w:left w:val="single" w:sz="4" w:space="4" w:color="auto"/>
          <w:bottom w:val="single" w:sz="4" w:space="1" w:color="auto"/>
          <w:right w:val="single" w:sz="4" w:space="4" w:color="auto"/>
        </w:pBdr>
        <w:rPr>
          <w:sz w:val="16"/>
        </w:rPr>
      </w:pPr>
      <w:r w:rsidRPr="00BD42C1">
        <w:rPr>
          <w:sz w:val="16"/>
        </w:rPr>
        <w:t>FFS what is the definition of a cell</w:t>
      </w:r>
    </w:p>
    <w:p w:rsidR="00BD42C1" w:rsidRPr="00BD42C1" w:rsidRDefault="00BD42C1" w:rsidP="00BD42C1">
      <w:pPr>
        <w:pStyle w:val="Doc-text2"/>
        <w:rPr>
          <w:sz w:val="16"/>
        </w:rPr>
      </w:pPr>
      <w:r w:rsidRPr="00BD42C1">
        <w:rPr>
          <w:sz w:val="16"/>
        </w:rPr>
        <w:t>FFS whether the following can be defined as a cell:</w:t>
      </w:r>
    </w:p>
    <w:p w:rsidR="00BD42C1" w:rsidRPr="00BD42C1" w:rsidRDefault="00BD42C1" w:rsidP="00BD42C1">
      <w:pPr>
        <w:pStyle w:val="Doc-text2"/>
        <w:rPr>
          <w:sz w:val="16"/>
        </w:rPr>
      </w:pPr>
      <w:r w:rsidRPr="00BD42C1">
        <w:rPr>
          <w:sz w:val="16"/>
        </w:rPr>
        <w:t>- A cell is defined by the presence of a Cell Identifier (CI).</w:t>
      </w:r>
    </w:p>
    <w:p w:rsidR="00BD42C1" w:rsidRPr="00BD42C1" w:rsidRDefault="00BD42C1" w:rsidP="00BD42C1">
      <w:pPr>
        <w:pStyle w:val="Doc-text2"/>
        <w:rPr>
          <w:sz w:val="16"/>
        </w:rPr>
      </w:pPr>
      <w:r w:rsidRPr="00BD42C1">
        <w:rPr>
          <w:sz w:val="16"/>
        </w:rPr>
        <w:t>- Beam(s) associated to the same cell are linked to the same Cell Identifier</w:t>
      </w:r>
    </w:p>
    <w:p w:rsidR="00724B15" w:rsidRDefault="009A5D9D" w:rsidP="009E555F">
      <w:pPr>
        <w:adjustRightInd/>
        <w:snapToGrid w:val="0"/>
        <w:spacing w:after="120"/>
        <w:jc w:val="both"/>
        <w:rPr>
          <w:lang w:val="en-GB"/>
        </w:rPr>
      </w:pPr>
      <w:r>
        <w:rPr>
          <w:lang w:val="en-GB"/>
        </w:rPr>
        <w:t>RAN2#95</w:t>
      </w:r>
      <w:r w:rsidR="00801107">
        <w:rPr>
          <w:lang w:val="en-GB"/>
        </w:rPr>
        <w:fldChar w:fldCharType="begin"/>
      </w:r>
      <w:r>
        <w:rPr>
          <w:lang w:val="en-GB"/>
        </w:rPr>
        <w:instrText xml:space="preserve"> REF _Ref462778614 \n \h </w:instrText>
      </w:r>
      <w:r w:rsidR="00801107">
        <w:rPr>
          <w:lang w:val="en-GB"/>
        </w:rPr>
      </w:r>
      <w:r w:rsidR="00801107">
        <w:rPr>
          <w:lang w:val="en-GB"/>
        </w:rPr>
        <w:fldChar w:fldCharType="separate"/>
      </w:r>
      <w:r>
        <w:rPr>
          <w:lang w:val="en-GB"/>
        </w:rPr>
        <w:t>[2]</w:t>
      </w:r>
      <w:r w:rsidR="00801107">
        <w:rPr>
          <w:lang w:val="en-GB"/>
        </w:rPr>
        <w:fldChar w:fldCharType="end"/>
      </w:r>
      <w:r w:rsidR="00EA4B8A">
        <w:rPr>
          <w:lang w:val="en-GB"/>
        </w:rPr>
        <w:t>:</w:t>
      </w:r>
    </w:p>
    <w:p w:rsidR="00FB29EF" w:rsidRPr="00FB29EF" w:rsidRDefault="00FB29EF" w:rsidP="00FB29EF">
      <w:pPr>
        <w:pStyle w:val="Doc-text2"/>
        <w:pBdr>
          <w:top w:val="single" w:sz="4" w:space="1" w:color="auto"/>
          <w:left w:val="single" w:sz="4" w:space="4" w:color="auto"/>
          <w:bottom w:val="single" w:sz="4" w:space="1" w:color="auto"/>
          <w:right w:val="single" w:sz="4" w:space="4" w:color="auto"/>
        </w:pBdr>
        <w:ind w:hanging="346"/>
        <w:rPr>
          <w:sz w:val="16"/>
        </w:rPr>
      </w:pPr>
      <w:r w:rsidRPr="00FB29EF">
        <w:rPr>
          <w:sz w:val="16"/>
        </w:rPr>
        <w:t>Agreements related to RRC based mobility</w:t>
      </w:r>
    </w:p>
    <w:p w:rsidR="00FB29EF" w:rsidRPr="00FB29EF" w:rsidRDefault="00FB29EF" w:rsidP="00FB29EF">
      <w:pPr>
        <w:pStyle w:val="Doc-text2"/>
        <w:pBdr>
          <w:top w:val="single" w:sz="4" w:space="1" w:color="auto"/>
          <w:left w:val="single" w:sz="4" w:space="4" w:color="auto"/>
          <w:bottom w:val="single" w:sz="4" w:space="1" w:color="auto"/>
          <w:right w:val="single" w:sz="4" w:space="4" w:color="auto"/>
        </w:pBdr>
        <w:ind w:hanging="346"/>
        <w:rPr>
          <w:sz w:val="16"/>
        </w:rPr>
      </w:pPr>
    </w:p>
    <w:p w:rsidR="00FB29EF" w:rsidRPr="00FB29EF" w:rsidRDefault="00FB29EF" w:rsidP="00FB29EF">
      <w:pPr>
        <w:pStyle w:val="Doc-text2"/>
        <w:pBdr>
          <w:top w:val="single" w:sz="4" w:space="1" w:color="auto"/>
          <w:left w:val="single" w:sz="4" w:space="4" w:color="auto"/>
          <w:bottom w:val="single" w:sz="4" w:space="1" w:color="auto"/>
          <w:right w:val="single" w:sz="4" w:space="4" w:color="auto"/>
        </w:pBdr>
        <w:ind w:hanging="346"/>
        <w:rPr>
          <w:sz w:val="16"/>
        </w:rPr>
      </w:pPr>
      <w:r w:rsidRPr="00FB29EF">
        <w:rPr>
          <w:sz w:val="16"/>
        </w:rPr>
        <w:t>RAN2 preference:</w:t>
      </w:r>
    </w:p>
    <w:p w:rsidR="00FB29EF" w:rsidRPr="00FB29EF" w:rsidRDefault="00FB29EF" w:rsidP="00FB29EF">
      <w:pPr>
        <w:pStyle w:val="Doc-text2"/>
        <w:pBdr>
          <w:top w:val="single" w:sz="4" w:space="1" w:color="auto"/>
          <w:left w:val="single" w:sz="4" w:space="4" w:color="auto"/>
          <w:bottom w:val="single" w:sz="4" w:space="1" w:color="auto"/>
          <w:right w:val="single" w:sz="4" w:space="4" w:color="auto"/>
        </w:pBdr>
        <w:ind w:hanging="346"/>
        <w:rPr>
          <w:sz w:val="16"/>
        </w:rPr>
      </w:pPr>
      <w:r w:rsidRPr="00FB29EF">
        <w:rPr>
          <w:sz w:val="16"/>
        </w:rPr>
        <w:t>1</w:t>
      </w:r>
      <w:r w:rsidRPr="00FB29EF">
        <w:rPr>
          <w:sz w:val="16"/>
        </w:rPr>
        <w:tab/>
        <w:t>In connected active we are able to use non-UE specific RS for measurements (UE may not need to be aware whether the RS is UE-specific or non-UE specific)</w:t>
      </w:r>
    </w:p>
    <w:p w:rsidR="00FB29EF" w:rsidRPr="00FB29EF" w:rsidRDefault="00FB29EF" w:rsidP="00FB29EF">
      <w:pPr>
        <w:pStyle w:val="Doc-text2"/>
        <w:pBdr>
          <w:top w:val="single" w:sz="4" w:space="1" w:color="auto"/>
          <w:left w:val="single" w:sz="4" w:space="4" w:color="auto"/>
          <w:bottom w:val="single" w:sz="4" w:space="1" w:color="auto"/>
          <w:right w:val="single" w:sz="4" w:space="4" w:color="auto"/>
        </w:pBdr>
        <w:ind w:hanging="346"/>
        <w:rPr>
          <w:sz w:val="16"/>
        </w:rPr>
      </w:pPr>
      <w:r w:rsidRPr="00FB29EF">
        <w:rPr>
          <w:sz w:val="16"/>
        </w:rPr>
        <w:t>2</w:t>
      </w:r>
      <w:r w:rsidRPr="00FB29EF">
        <w:rPr>
          <w:sz w:val="16"/>
        </w:rPr>
        <w:tab/>
        <w:t>The non-UE specific RS can be found by the UE without much configuration</w:t>
      </w:r>
    </w:p>
    <w:p w:rsidR="00FB29EF" w:rsidRPr="00FB29EF" w:rsidRDefault="00FB29EF" w:rsidP="00FB29EF">
      <w:pPr>
        <w:pStyle w:val="Doc-text2"/>
        <w:pBdr>
          <w:top w:val="single" w:sz="4" w:space="1" w:color="auto"/>
          <w:left w:val="single" w:sz="4" w:space="4" w:color="auto"/>
          <w:bottom w:val="single" w:sz="4" w:space="1" w:color="auto"/>
          <w:right w:val="single" w:sz="4" w:space="4" w:color="auto"/>
        </w:pBdr>
        <w:ind w:hanging="346"/>
        <w:rPr>
          <w:sz w:val="16"/>
        </w:rPr>
      </w:pPr>
      <w:r w:rsidRPr="00FB29EF">
        <w:rPr>
          <w:sz w:val="16"/>
        </w:rPr>
        <w:t>3</w:t>
      </w:r>
      <w:r w:rsidRPr="00FB29EF">
        <w:rPr>
          <w:sz w:val="16"/>
        </w:rPr>
        <w:tab/>
        <w:t>The non-UE specific RS encodes an identity</w:t>
      </w:r>
    </w:p>
    <w:p w:rsidR="00FB29EF" w:rsidRPr="00FB29EF" w:rsidRDefault="00FB29EF" w:rsidP="00FB29EF">
      <w:pPr>
        <w:pStyle w:val="Doc-text2"/>
        <w:pBdr>
          <w:top w:val="single" w:sz="4" w:space="1" w:color="auto"/>
          <w:left w:val="single" w:sz="4" w:space="4" w:color="auto"/>
          <w:bottom w:val="single" w:sz="4" w:space="1" w:color="auto"/>
          <w:right w:val="single" w:sz="4" w:space="4" w:color="auto"/>
        </w:pBdr>
        <w:ind w:hanging="346"/>
        <w:rPr>
          <w:sz w:val="16"/>
        </w:rPr>
      </w:pPr>
    </w:p>
    <w:p w:rsidR="00FB29EF" w:rsidRPr="00FB29EF" w:rsidRDefault="00FB29EF" w:rsidP="00FB29EF">
      <w:pPr>
        <w:pStyle w:val="Doc-text2"/>
        <w:pBdr>
          <w:top w:val="single" w:sz="4" w:space="1" w:color="auto"/>
          <w:left w:val="single" w:sz="4" w:space="4" w:color="auto"/>
          <w:bottom w:val="single" w:sz="4" w:space="1" w:color="auto"/>
          <w:right w:val="single" w:sz="4" w:space="4" w:color="auto"/>
        </w:pBdr>
        <w:ind w:hanging="346"/>
        <w:rPr>
          <w:sz w:val="16"/>
        </w:rPr>
      </w:pPr>
      <w:r w:rsidRPr="00FB29EF">
        <w:rPr>
          <w:sz w:val="16"/>
        </w:rPr>
        <w:t>FFS1</w:t>
      </w:r>
      <w:r w:rsidRPr="00FB29EF">
        <w:rPr>
          <w:sz w:val="16"/>
        </w:rPr>
        <w:tab/>
      </w:r>
      <w:r>
        <w:rPr>
          <w:sz w:val="16"/>
        </w:rPr>
        <w:t xml:space="preserve"> </w:t>
      </w:r>
      <w:r w:rsidRPr="00FB29EF">
        <w:rPr>
          <w:sz w:val="16"/>
        </w:rPr>
        <w:t>Is RS in connected the same as "xSS"</w:t>
      </w:r>
    </w:p>
    <w:p w:rsidR="00FB29EF" w:rsidRPr="00FB29EF" w:rsidRDefault="00FB29EF" w:rsidP="00FB29EF">
      <w:pPr>
        <w:pStyle w:val="Doc-text2"/>
        <w:pBdr>
          <w:top w:val="single" w:sz="4" w:space="1" w:color="auto"/>
          <w:left w:val="single" w:sz="4" w:space="4" w:color="auto"/>
          <w:bottom w:val="single" w:sz="4" w:space="1" w:color="auto"/>
          <w:right w:val="single" w:sz="4" w:space="4" w:color="auto"/>
        </w:pBdr>
        <w:ind w:hanging="346"/>
        <w:rPr>
          <w:sz w:val="16"/>
        </w:rPr>
      </w:pPr>
      <w:r w:rsidRPr="00FB29EF">
        <w:rPr>
          <w:sz w:val="16"/>
        </w:rPr>
        <w:t>FFS2 What does the non-UE specific RS identify? e.g. Cell, beam, TRP, zone, or something else.</w:t>
      </w:r>
    </w:p>
    <w:p w:rsidR="00FB29EF" w:rsidRPr="00FB29EF" w:rsidRDefault="00FB29EF" w:rsidP="00FB29EF">
      <w:pPr>
        <w:pStyle w:val="Doc-text2"/>
        <w:pBdr>
          <w:top w:val="single" w:sz="4" w:space="1" w:color="auto"/>
          <w:left w:val="single" w:sz="4" w:space="4" w:color="auto"/>
          <w:bottom w:val="single" w:sz="4" w:space="1" w:color="auto"/>
          <w:right w:val="single" w:sz="4" w:space="4" w:color="auto"/>
        </w:pBdr>
        <w:ind w:hanging="346"/>
        <w:rPr>
          <w:sz w:val="16"/>
        </w:rPr>
      </w:pPr>
      <w:r w:rsidRPr="00FB29EF">
        <w:rPr>
          <w:sz w:val="16"/>
        </w:rPr>
        <w:t>FFS3</w:t>
      </w:r>
      <w:r w:rsidRPr="00FB29EF">
        <w:rPr>
          <w:sz w:val="16"/>
        </w:rPr>
        <w:tab/>
      </w:r>
      <w:r>
        <w:rPr>
          <w:sz w:val="16"/>
        </w:rPr>
        <w:t xml:space="preserve"> </w:t>
      </w:r>
      <w:r w:rsidRPr="00FB29EF">
        <w:rPr>
          <w:sz w:val="16"/>
        </w:rPr>
        <w:t>Does the UE have to be able to somehow identify a grouping from this identity</w:t>
      </w:r>
    </w:p>
    <w:p w:rsidR="00FB29EF" w:rsidRPr="00FB29EF" w:rsidRDefault="00FB29EF" w:rsidP="00FB29EF">
      <w:pPr>
        <w:pStyle w:val="Doc-text2"/>
        <w:pBdr>
          <w:top w:val="single" w:sz="4" w:space="1" w:color="auto"/>
          <w:left w:val="single" w:sz="4" w:space="4" w:color="auto"/>
          <w:bottom w:val="single" w:sz="4" w:space="1" w:color="auto"/>
          <w:right w:val="single" w:sz="4" w:space="4" w:color="auto"/>
        </w:pBdr>
        <w:ind w:hanging="346"/>
        <w:rPr>
          <w:sz w:val="16"/>
        </w:rPr>
      </w:pPr>
      <w:r w:rsidRPr="00FB29EF">
        <w:rPr>
          <w:sz w:val="16"/>
        </w:rPr>
        <w:lastRenderedPageBreak/>
        <w:t>These agreements are not intended to preclude uplink based mobility</w:t>
      </w:r>
    </w:p>
    <w:p w:rsidR="00FB29EF" w:rsidRPr="00FB29EF" w:rsidRDefault="00FB29EF" w:rsidP="00FB29EF">
      <w:pPr>
        <w:pStyle w:val="Doc-text2"/>
        <w:pBdr>
          <w:top w:val="single" w:sz="4" w:space="1" w:color="auto"/>
          <w:left w:val="single" w:sz="4" w:space="4" w:color="auto"/>
          <w:bottom w:val="single" w:sz="4" w:space="1" w:color="auto"/>
          <w:right w:val="single" w:sz="4" w:space="4" w:color="auto"/>
        </w:pBdr>
        <w:ind w:hanging="346"/>
        <w:rPr>
          <w:sz w:val="16"/>
        </w:rPr>
      </w:pPr>
      <w:r w:rsidRPr="00FB29EF">
        <w:rPr>
          <w:sz w:val="16"/>
        </w:rPr>
        <w:t>Final decision whether to introduce non-UE specific RS design is RAN1 responsibility</w:t>
      </w:r>
    </w:p>
    <w:p w:rsidR="00BD42C1" w:rsidRPr="00FB29EF" w:rsidRDefault="00BD42C1" w:rsidP="009E555F">
      <w:pPr>
        <w:adjustRightInd/>
        <w:snapToGrid w:val="0"/>
        <w:spacing w:after="120"/>
        <w:jc w:val="both"/>
        <w:rPr>
          <w:sz w:val="2"/>
          <w:lang w:val="en-GB"/>
        </w:rPr>
      </w:pPr>
    </w:p>
    <w:p w:rsidR="00FB29EF" w:rsidRPr="00FB29EF" w:rsidRDefault="00FB29EF" w:rsidP="00FB29EF">
      <w:pPr>
        <w:pStyle w:val="Doc-text2"/>
        <w:pBdr>
          <w:top w:val="single" w:sz="4" w:space="1" w:color="auto"/>
          <w:left w:val="single" w:sz="4" w:space="4" w:color="auto"/>
          <w:bottom w:val="single" w:sz="4" w:space="1" w:color="auto"/>
          <w:right w:val="single" w:sz="4" w:space="4" w:color="auto"/>
        </w:pBdr>
        <w:ind w:hanging="346"/>
        <w:rPr>
          <w:sz w:val="16"/>
        </w:rPr>
      </w:pPr>
      <w:r w:rsidRPr="00FB29EF">
        <w:rPr>
          <w:sz w:val="16"/>
        </w:rPr>
        <w:t>Agreements</w:t>
      </w:r>
    </w:p>
    <w:p w:rsidR="00FB29EF" w:rsidRPr="00FB29EF" w:rsidRDefault="00FB29EF" w:rsidP="00FB29EF">
      <w:pPr>
        <w:pStyle w:val="Doc-text2"/>
        <w:pBdr>
          <w:top w:val="single" w:sz="4" w:space="1" w:color="auto"/>
          <w:left w:val="single" w:sz="4" w:space="4" w:color="auto"/>
          <w:bottom w:val="single" w:sz="4" w:space="1" w:color="auto"/>
          <w:right w:val="single" w:sz="4" w:space="4" w:color="auto"/>
        </w:pBdr>
        <w:ind w:hanging="346"/>
        <w:rPr>
          <w:sz w:val="16"/>
        </w:rPr>
      </w:pPr>
      <w:r w:rsidRPr="00FB29EF">
        <w:rPr>
          <w:sz w:val="16"/>
        </w:rPr>
        <w:t>1:</w:t>
      </w:r>
      <w:r w:rsidRPr="00FB29EF">
        <w:rPr>
          <w:sz w:val="16"/>
        </w:rPr>
        <w:tab/>
        <w:t>In the 5G system, the UE camps on the best cell</w:t>
      </w:r>
    </w:p>
    <w:p w:rsidR="00FB29EF" w:rsidRPr="00FB29EF" w:rsidRDefault="00FB29EF" w:rsidP="00FB29EF">
      <w:pPr>
        <w:pStyle w:val="Doc-text2"/>
        <w:pBdr>
          <w:top w:val="single" w:sz="4" w:space="1" w:color="auto"/>
          <w:left w:val="single" w:sz="4" w:space="4" w:color="auto"/>
          <w:bottom w:val="single" w:sz="4" w:space="1" w:color="auto"/>
          <w:right w:val="single" w:sz="4" w:space="4" w:color="auto"/>
        </w:pBdr>
        <w:ind w:hanging="346"/>
        <w:rPr>
          <w:sz w:val="16"/>
        </w:rPr>
      </w:pPr>
      <w:r w:rsidRPr="00FB29EF">
        <w:rPr>
          <w:sz w:val="16"/>
        </w:rPr>
        <w:t xml:space="preserve">FFS how the UE determines the best cell </w:t>
      </w:r>
    </w:p>
    <w:p w:rsidR="00FB29EF" w:rsidRDefault="00FB29EF" w:rsidP="009E555F">
      <w:pPr>
        <w:adjustRightInd/>
        <w:snapToGrid w:val="0"/>
        <w:spacing w:after="120"/>
        <w:jc w:val="both"/>
        <w:rPr>
          <w:lang w:val="en-GB"/>
        </w:rPr>
      </w:pPr>
    </w:p>
    <w:p w:rsidR="00FB29EF" w:rsidRDefault="00FB29EF" w:rsidP="002613D1">
      <w:pPr>
        <w:adjustRightInd/>
        <w:snapToGrid w:val="0"/>
        <w:spacing w:after="120" w:line="264" w:lineRule="auto"/>
        <w:jc w:val="both"/>
        <w:rPr>
          <w:lang w:val="en-GB"/>
        </w:rPr>
      </w:pPr>
      <w:r>
        <w:rPr>
          <w:lang w:val="en-GB"/>
        </w:rPr>
        <w:t xml:space="preserve">In this contribution, we further discuss mobility </w:t>
      </w:r>
      <w:r w:rsidR="00A91ACA">
        <w:rPr>
          <w:lang w:val="en-GB"/>
        </w:rPr>
        <w:t xml:space="preserve">aspects </w:t>
      </w:r>
      <w:r>
        <w:rPr>
          <w:lang w:val="en-GB"/>
        </w:rPr>
        <w:t xml:space="preserve">for </w:t>
      </w:r>
    </w:p>
    <w:p w:rsidR="00BD42C1" w:rsidRDefault="00FB29EF" w:rsidP="002613D1">
      <w:pPr>
        <w:pStyle w:val="ListParagraph"/>
        <w:numPr>
          <w:ilvl w:val="0"/>
          <w:numId w:val="13"/>
        </w:numPr>
        <w:adjustRightInd/>
        <w:snapToGrid w:val="0"/>
        <w:spacing w:after="120" w:line="264" w:lineRule="auto"/>
        <w:ind w:firstLineChars="0"/>
        <w:jc w:val="both"/>
        <w:rPr>
          <w:lang w:val="en-GB"/>
        </w:rPr>
      </w:pPr>
      <w:r>
        <w:rPr>
          <w:lang w:val="en-GB"/>
        </w:rPr>
        <w:t>Connected mode: above called “</w:t>
      </w:r>
      <w:r w:rsidRPr="00FB29EF">
        <w:rPr>
          <w:lang w:val="en-GB"/>
        </w:rPr>
        <w:t>a UE state with network controlled mobility handli</w:t>
      </w:r>
      <w:r>
        <w:rPr>
          <w:lang w:val="en-GB"/>
        </w:rPr>
        <w:t>ng” and</w:t>
      </w:r>
    </w:p>
    <w:p w:rsidR="00FB29EF" w:rsidRPr="00FB29EF" w:rsidRDefault="00FB29EF" w:rsidP="002613D1">
      <w:pPr>
        <w:pStyle w:val="ListParagraph"/>
        <w:numPr>
          <w:ilvl w:val="0"/>
          <w:numId w:val="13"/>
        </w:numPr>
        <w:adjustRightInd/>
        <w:snapToGrid w:val="0"/>
        <w:spacing w:after="120" w:line="264" w:lineRule="auto"/>
        <w:ind w:firstLineChars="0"/>
        <w:jc w:val="both"/>
        <w:rPr>
          <w:lang w:val="en-GB"/>
        </w:rPr>
      </w:pPr>
      <w:r>
        <w:rPr>
          <w:lang w:val="en-GB"/>
        </w:rPr>
        <w:t>Idle mode: above called “a UE state with UE controlled mobility”.</w:t>
      </w:r>
    </w:p>
    <w:p w:rsidR="00A7317C" w:rsidRPr="00B8312D" w:rsidRDefault="008721F4" w:rsidP="00FC35D7">
      <w:pPr>
        <w:pStyle w:val="Heading2"/>
        <w:numPr>
          <w:ilvl w:val="0"/>
          <w:numId w:val="12"/>
        </w:numPr>
      </w:pPr>
      <w:r>
        <w:t>Idle Mode Mobility</w:t>
      </w:r>
    </w:p>
    <w:p w:rsidR="005343AC" w:rsidRDefault="005343AC" w:rsidP="002613D1">
      <w:pPr>
        <w:adjustRightInd/>
        <w:snapToGrid w:val="0"/>
        <w:spacing w:after="120" w:line="264" w:lineRule="auto"/>
        <w:jc w:val="both"/>
      </w:pPr>
      <w:r>
        <w:t>As shown above, RAN2 has agreed that the IDLE UE camps on the best cell. In order to achieve this, it needs to be able to detect and measure cells. RAN1 should define signals in order to support this.</w:t>
      </w:r>
    </w:p>
    <w:p w:rsidR="00710C7C" w:rsidRDefault="005343AC" w:rsidP="002613D1">
      <w:pPr>
        <w:adjustRightInd/>
        <w:snapToGrid w:val="0"/>
        <w:spacing w:after="120" w:line="264" w:lineRule="auto"/>
        <w:jc w:val="both"/>
      </w:pPr>
      <w:r>
        <w:t>In our comp</w:t>
      </w:r>
      <w:r w:rsidR="009A5D9D">
        <w:t xml:space="preserve">anion contribution </w:t>
      </w:r>
      <w:r w:rsidR="00801107">
        <w:fldChar w:fldCharType="begin"/>
      </w:r>
      <w:r w:rsidR="009A5D9D">
        <w:instrText xml:space="preserve"> REF _Ref462778624 \n \h </w:instrText>
      </w:r>
      <w:r w:rsidR="00801107">
        <w:fldChar w:fldCharType="separate"/>
      </w:r>
      <w:r w:rsidR="009A5D9D">
        <w:t>[3]</w:t>
      </w:r>
      <w:r w:rsidR="00801107">
        <w:fldChar w:fldCharType="end"/>
      </w:r>
      <w:r>
        <w:t>, we propose the downlink sweeping time interval (DL STI) as a signal structure that supports single-beam and multi-beam operation. The DL STI consists of one or more DL</w:t>
      </w:r>
      <w:r w:rsidR="00F1145E">
        <w:t xml:space="preserve"> sweeping blocks (DL SBs)</w:t>
      </w:r>
      <w:r w:rsidR="00D2405C">
        <w:t xml:space="preserve">, </w:t>
      </w:r>
      <w:r w:rsidR="00B26A4A">
        <w:t>which each contain at least a synchronization signal (SS)</w:t>
      </w:r>
      <w:r w:rsidR="00F1145E">
        <w:t xml:space="preserve">. It should be sufficient for a UE to receive only one of the DL SBs in order to be able to access the system. However, </w:t>
      </w:r>
      <w:r w:rsidR="00710C7C">
        <w:t>due to network energy and radio resource efficiency</w:t>
      </w:r>
      <w:r w:rsidR="00F1145E">
        <w:t xml:space="preserve"> broadcast channels carrying system information (SI) may not be transmitted in each DL S</w:t>
      </w:r>
      <w:r w:rsidR="00A91ACA">
        <w:t>TI</w:t>
      </w:r>
      <w:r w:rsidR="00710C7C">
        <w:t>, which means that a UE may have to receive the DL SB in multiple DL STIs</w:t>
      </w:r>
      <w:r w:rsidR="0039096E">
        <w:t>.</w:t>
      </w:r>
      <w:r w:rsidR="00710C7C" w:rsidRPr="00710C7C">
        <w:t xml:space="preserve"> </w:t>
      </w:r>
    </w:p>
    <w:p w:rsidR="00710C7C" w:rsidRDefault="00710C7C" w:rsidP="002613D1">
      <w:pPr>
        <w:adjustRightInd/>
        <w:snapToGrid w:val="0"/>
        <w:spacing w:after="120" w:line="264" w:lineRule="auto"/>
        <w:jc w:val="both"/>
      </w:pPr>
      <w:r>
        <w:t>Analog/hybrid beamforming of the signals used for idle mode mobility is supported by the DL STI by applying different beams in different DL SBs. In order to provide sufficient coverage in challenging scenarios, e.g. UMa, also repetition on the same beam should be supported by the DL STI framework.</w:t>
      </w:r>
    </w:p>
    <w:p w:rsidR="005343AC" w:rsidRDefault="005343AC" w:rsidP="008721F4">
      <w:pPr>
        <w:adjustRightInd/>
        <w:snapToGrid w:val="0"/>
        <w:spacing w:after="120"/>
        <w:jc w:val="both"/>
      </w:pPr>
    </w:p>
    <w:p w:rsidR="00A91ACA" w:rsidRDefault="00A91ACA" w:rsidP="00A91ACA">
      <w:pPr>
        <w:adjustRightInd/>
        <w:snapToGrid w:val="0"/>
        <w:spacing w:after="120"/>
        <w:jc w:val="center"/>
      </w:pPr>
      <w:r w:rsidRPr="00A91ACA">
        <w:rPr>
          <w:noProof/>
        </w:rPr>
        <w:drawing>
          <wp:inline distT="0" distB="0" distL="0" distR="0">
            <wp:extent cx="3986893" cy="1322615"/>
            <wp:effectExtent l="19050" t="0" r="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527790" cy="2514600"/>
                      <a:chOff x="558810" y="228600"/>
                      <a:chExt cx="6527790" cy="2514600"/>
                    </a:xfrm>
                  </a:grpSpPr>
                  <a:sp>
                    <a:nvSpPr>
                      <a:cNvPr id="4" name="Rectangle 3"/>
                      <a:cNvSpPr/>
                    </a:nvSpPr>
                    <a:spPr>
                      <a:xfrm>
                        <a:off x="1671729" y="1981200"/>
                        <a:ext cx="1143000" cy="762000"/>
                      </a:xfrm>
                      <a:prstGeom prst="rect">
                        <a:avLst/>
                      </a:prstGeom>
                      <a:solidFill>
                        <a:srgbClr val="0070C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600" smtClean="0">
                              <a:solidFill>
                                <a:schemeClr val="bg1"/>
                              </a:solidFill>
                            </a:rPr>
                            <a:t>SS/SI for PCI</a:t>
                          </a:r>
                          <a:r>
                            <a:rPr lang="sv-SE" sz="1600" baseline="-25000" smtClean="0">
                              <a:solidFill>
                                <a:schemeClr val="bg1"/>
                              </a:solidFill>
                            </a:rPr>
                            <a:t>0</a:t>
                          </a:r>
                          <a:r>
                            <a:rPr lang="sv-SE" sz="1600" smtClean="0">
                              <a:solidFill>
                                <a:schemeClr val="bg1"/>
                              </a:solidFill>
                            </a:rPr>
                            <a:t> on beam</a:t>
                          </a:r>
                          <a:r>
                            <a:rPr lang="sv-SE" sz="1600" baseline="-25000" smtClean="0">
                              <a:solidFill>
                                <a:schemeClr val="bg1"/>
                              </a:solidFill>
                            </a:rPr>
                            <a:t>0</a:t>
                          </a:r>
                          <a:r>
                            <a:rPr lang="sv-SE" sz="1600" smtClean="0">
                              <a:solidFill>
                                <a:schemeClr val="bg1"/>
                              </a:solidFill>
                            </a:rPr>
                            <a:t> and beam</a:t>
                          </a:r>
                          <a:r>
                            <a:rPr lang="sv-SE" sz="1600" baseline="-25000" smtClean="0">
                              <a:solidFill>
                                <a:schemeClr val="bg1"/>
                              </a:solidFill>
                            </a:rPr>
                            <a:t>1</a:t>
                          </a:r>
                          <a:endParaRPr lang="en-US" sz="1600" baseline="-25000">
                            <a:solidFill>
                              <a:schemeClr val="bg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TextBox 4"/>
                      <a:cNvSpPr txBox="1"/>
                    </a:nvSpPr>
                    <a:spPr>
                      <a:xfrm>
                        <a:off x="558810" y="2209800"/>
                        <a:ext cx="1045479" cy="4001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000" smtClean="0"/>
                            <a:t>Cell PCI</a:t>
                          </a:r>
                          <a:r>
                            <a:rPr lang="sv-SE" sz="2000" baseline="-25000" smtClean="0"/>
                            <a:t>0</a:t>
                          </a:r>
                        </a:p>
                      </a:txBody>
                      <a:useSpRect/>
                    </a:txSp>
                  </a:sp>
                  <a:cxnSp>
                    <a:nvCxnSpPr>
                      <a:cNvPr id="20" name="Straight Arrow Connector 19"/>
                      <a:cNvCxnSpPr/>
                    </a:nvCxnSpPr>
                    <a:spPr>
                      <a:xfrm>
                        <a:off x="1443129" y="1219200"/>
                        <a:ext cx="50292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1" name="TextBox 20"/>
                      <a:cNvSpPr txBox="1"/>
                    </a:nvSpPr>
                    <a:spPr>
                      <a:xfrm>
                        <a:off x="6472329" y="990600"/>
                        <a:ext cx="614271"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time</a:t>
                          </a:r>
                          <a:endParaRPr lang="en-US"/>
                        </a:p>
                      </a:txBody>
                      <a:useSpRect/>
                    </a:txSp>
                  </a:sp>
                  <a:grpSp>
                    <a:nvGrpSpPr>
                      <a:cNvPr id="2" name="Group 143"/>
                      <a:cNvGrpSpPr/>
                    </a:nvGrpSpPr>
                    <a:grpSpPr>
                      <a:xfrm>
                        <a:off x="2967129" y="228600"/>
                        <a:ext cx="864096" cy="864096"/>
                        <a:chOff x="2339752" y="1484785"/>
                        <a:chExt cx="864096" cy="864096"/>
                      </a:xfrm>
                    </a:grpSpPr>
                    <a:sp>
                      <a:nvSpPr>
                        <a:cNvPr id="23" name="Oval 22"/>
                        <a:cNvSpPr/>
                      </a:nvSpPr>
                      <a:spPr>
                        <a:xfrm>
                          <a:off x="2771800" y="1844825"/>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Oval 23"/>
                        <a:cNvSpPr/>
                      </a:nvSpPr>
                      <a:spPr>
                        <a:xfrm>
                          <a:off x="2339752" y="1844825"/>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9" name="Group 42"/>
                        <a:cNvGrpSpPr/>
                      </a:nvGrpSpPr>
                      <a:grpSpPr>
                        <a:xfrm>
                          <a:off x="2350778" y="1493928"/>
                          <a:ext cx="488131" cy="432048"/>
                          <a:chOff x="550578" y="1493927"/>
                          <a:chExt cx="488131" cy="432048"/>
                        </a:xfrm>
                      </a:grpSpPr>
                      <a:sp>
                        <a:nvSpPr>
                          <a:cNvPr id="38" name="Oval 37"/>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Oval 38"/>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Oval 39"/>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6" name="Oval 25"/>
                        <a:cNvSpPr/>
                      </a:nvSpPr>
                      <a:spPr>
                        <a:xfrm rot="5400000">
                          <a:off x="2555776" y="162880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Oval 26"/>
                        <a:cNvSpPr/>
                      </a:nvSpPr>
                      <a:spPr>
                        <a:xfrm rot="17530290">
                          <a:off x="2452981" y="20449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Oval 27"/>
                        <a:cNvSpPr/>
                      </a:nvSpPr>
                      <a:spPr>
                        <a:xfrm rot="18626236">
                          <a:off x="2381517" y="198884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Oval 28"/>
                        <a:cNvSpPr/>
                      </a:nvSpPr>
                      <a:spPr>
                        <a:xfrm rot="20498313">
                          <a:off x="2339753" y="1919558"/>
                          <a:ext cx="432048" cy="144016"/>
                        </a:xfrm>
                        <a:prstGeom prst="ellipse">
                          <a:avLst/>
                        </a:prstGeom>
                        <a:solidFill>
                          <a:srgbClr val="0070C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mtClean="0"/>
                              <a:t>3</a:t>
                            </a: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Oval 29"/>
                        <a:cNvSpPr/>
                      </a:nvSpPr>
                      <a:spPr>
                        <a:xfrm rot="5400000">
                          <a:off x="2555776" y="2060849"/>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5" name="Group 52"/>
                        <a:cNvGrpSpPr/>
                      </a:nvGrpSpPr>
                      <a:grpSpPr>
                        <a:xfrm rot="5400000" flipH="1">
                          <a:off x="2743758" y="1872866"/>
                          <a:ext cx="488131" cy="432048"/>
                          <a:chOff x="1784512" y="1646327"/>
                          <a:chExt cx="488131" cy="432048"/>
                        </a:xfrm>
                      </a:grpSpPr>
                      <a:sp>
                        <a:nvSpPr>
                          <a:cNvPr id="35" name="Oval 34"/>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Oval 35"/>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Oval 36"/>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2" name="Oval 31"/>
                        <a:cNvSpPr/>
                      </a:nvSpPr>
                      <a:spPr>
                        <a:xfrm rot="17530290" flipH="1" flipV="1">
                          <a:off x="2658572" y="162880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Oval 32"/>
                        <a:cNvSpPr/>
                      </a:nvSpPr>
                      <a:spPr>
                        <a:xfrm rot="18626236" flipH="1" flipV="1">
                          <a:off x="2730036" y="168488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Oval 33"/>
                        <a:cNvSpPr/>
                      </a:nvSpPr>
                      <a:spPr>
                        <a:xfrm rot="9893899" flipH="1" flipV="1">
                          <a:off x="2771800" y="1754167"/>
                          <a:ext cx="432048" cy="144016"/>
                        </a:xfrm>
                        <a:prstGeom prst="ellipse">
                          <a:avLst/>
                        </a:prstGeom>
                        <a:solidFill>
                          <a:srgbClr val="0070C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mtClean="0"/>
                              <a:t>2</a:t>
                            </a: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7" name="Group 171"/>
                      <a:cNvGrpSpPr/>
                    </a:nvGrpSpPr>
                    <a:grpSpPr>
                      <a:xfrm>
                        <a:off x="1824129" y="304800"/>
                        <a:ext cx="864096" cy="864098"/>
                        <a:chOff x="179512" y="1484783"/>
                        <a:chExt cx="864096" cy="864098"/>
                      </a:xfrm>
                    </a:grpSpPr>
                    <a:grpSp>
                      <a:nvGrpSpPr>
                        <a:cNvPr id="31" name="Group 38"/>
                        <a:cNvGrpSpPr/>
                      </a:nvGrpSpPr>
                      <a:grpSpPr>
                        <a:xfrm>
                          <a:off x="190538" y="1493927"/>
                          <a:ext cx="488131" cy="432048"/>
                          <a:chOff x="550578" y="1493927"/>
                          <a:chExt cx="488131" cy="432048"/>
                        </a:xfrm>
                      </a:grpSpPr>
                      <a:sp>
                        <a:nvSpPr>
                          <a:cNvPr id="59" name="Oval 58"/>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Oval 21"/>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61" name="Oval 60"/>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3" name="Oval 42"/>
                        <a:cNvSpPr/>
                      </a:nvSpPr>
                      <a:spPr>
                        <a:xfrm rot="5400000">
                          <a:off x="395536"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41" name="Group 28"/>
                        <a:cNvGrpSpPr/>
                      </a:nvGrpSpPr>
                      <a:grpSpPr>
                        <a:xfrm rot="16200000">
                          <a:off x="151471" y="1872867"/>
                          <a:ext cx="488131" cy="432048"/>
                          <a:chOff x="1784512" y="1646327"/>
                          <a:chExt cx="488131" cy="432048"/>
                        </a:xfrm>
                      </a:grpSpPr>
                      <a:sp>
                        <a:nvSpPr>
                          <a:cNvPr id="56" name="Oval 25"/>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Oval 26"/>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Oval 57"/>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5" name="Oval 44"/>
                        <a:cNvSpPr/>
                      </a:nvSpPr>
                      <a:spPr>
                        <a:xfrm rot="5400000">
                          <a:off x="395536" y="2060849"/>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42" name="Group 30"/>
                        <a:cNvGrpSpPr/>
                      </a:nvGrpSpPr>
                      <a:grpSpPr>
                        <a:xfrm rot="5400000" flipH="1">
                          <a:off x="583518" y="1872866"/>
                          <a:ext cx="488131" cy="432048"/>
                          <a:chOff x="1784512" y="1646327"/>
                          <a:chExt cx="488131" cy="432048"/>
                        </a:xfrm>
                      </a:grpSpPr>
                      <a:sp>
                        <a:nvSpPr>
                          <a:cNvPr id="53" name="Oval 52"/>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Oval 53"/>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Oval 54"/>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4" name="Group 34"/>
                        <a:cNvGrpSpPr/>
                      </a:nvGrpSpPr>
                      <a:grpSpPr>
                        <a:xfrm rot="16200000" flipH="1" flipV="1">
                          <a:off x="583518" y="1512825"/>
                          <a:ext cx="488131" cy="432048"/>
                          <a:chOff x="1784512" y="1646327"/>
                          <a:chExt cx="488131" cy="432048"/>
                        </a:xfrm>
                      </a:grpSpPr>
                      <a:sp>
                        <a:nvSpPr>
                          <a:cNvPr id="50" name="Oval 49"/>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Oval 50"/>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Oval 51"/>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8" name="Oval 47"/>
                        <a:cNvSpPr/>
                      </a:nvSpPr>
                      <a:spPr>
                        <a:xfrm>
                          <a:off x="611560" y="1844824"/>
                          <a:ext cx="432048" cy="144016"/>
                        </a:xfrm>
                        <a:prstGeom prst="ellipse">
                          <a:avLst/>
                        </a:prstGeom>
                        <a:solidFill>
                          <a:srgbClr val="0070C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mtClean="0"/>
                              <a:t>0</a:t>
                            </a: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Oval 48"/>
                        <a:cNvSpPr/>
                      </a:nvSpPr>
                      <a:spPr>
                        <a:xfrm>
                          <a:off x="179512" y="1844824"/>
                          <a:ext cx="432048" cy="144016"/>
                        </a:xfrm>
                        <a:prstGeom prst="ellipse">
                          <a:avLst/>
                        </a:prstGeom>
                        <a:solidFill>
                          <a:srgbClr val="0070C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mtClean="0"/>
                              <a:t>1</a:t>
                            </a: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62" name="TextBox 61"/>
                      <a:cNvSpPr txBox="1"/>
                    </a:nvSpPr>
                    <a:spPr>
                      <a:xfrm>
                        <a:off x="4398923" y="304800"/>
                        <a:ext cx="473206" cy="52322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800" b="1" smtClean="0"/>
                            <a:t>...</a:t>
                          </a:r>
                          <a:endParaRPr lang="en-US" sz="2800" b="1"/>
                        </a:p>
                      </a:txBody>
                      <a:useSpRect/>
                    </a:txSp>
                  </a:sp>
                  <a:grpSp>
                    <a:nvGrpSpPr>
                      <a:cNvPr id="3" name="Group 143"/>
                      <a:cNvGrpSpPr/>
                    </a:nvGrpSpPr>
                    <a:grpSpPr>
                      <a:xfrm flipH="1">
                        <a:off x="5379633" y="228600"/>
                        <a:ext cx="864096" cy="864096"/>
                        <a:chOff x="2339752" y="1484785"/>
                        <a:chExt cx="864096" cy="864096"/>
                      </a:xfrm>
                    </a:grpSpPr>
                    <a:sp>
                      <a:nvSpPr>
                        <a:cNvPr id="65" name="Oval 64"/>
                        <a:cNvSpPr/>
                      </a:nvSpPr>
                      <a:spPr>
                        <a:xfrm>
                          <a:off x="2771800" y="1844825"/>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Oval 65"/>
                        <a:cNvSpPr/>
                      </a:nvSpPr>
                      <a:spPr>
                        <a:xfrm>
                          <a:off x="2339752" y="1844825"/>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3" name="Group 42"/>
                        <a:cNvGrpSpPr/>
                      </a:nvGrpSpPr>
                      <a:grpSpPr>
                        <a:xfrm>
                          <a:off x="2350778" y="1493928"/>
                          <a:ext cx="488131" cy="432048"/>
                          <a:chOff x="550578" y="1493927"/>
                          <a:chExt cx="488131" cy="432048"/>
                        </a:xfrm>
                      </a:grpSpPr>
                      <a:sp>
                        <a:nvSpPr>
                          <a:cNvPr id="80" name="Oval 79"/>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Oval 80"/>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Oval 81"/>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68" name="Oval 67"/>
                        <a:cNvSpPr/>
                      </a:nvSpPr>
                      <a:spPr>
                        <a:xfrm rot="5400000">
                          <a:off x="2555776" y="162880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69" name="Oval 68"/>
                        <a:cNvSpPr/>
                      </a:nvSpPr>
                      <a:spPr>
                        <a:xfrm rot="17530290">
                          <a:off x="2452981" y="20449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70" name="Oval 69"/>
                        <a:cNvSpPr/>
                      </a:nvSpPr>
                      <a:spPr>
                        <a:xfrm rot="18626236">
                          <a:off x="2381517" y="198884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71" name="Oval 70"/>
                        <a:cNvSpPr/>
                      </a:nvSpPr>
                      <a:spPr>
                        <a:xfrm rot="20498313">
                          <a:off x="2339753" y="1919558"/>
                          <a:ext cx="432048" cy="144016"/>
                        </a:xfrm>
                        <a:prstGeom prst="ellipse">
                          <a:avLst/>
                        </a:prstGeom>
                        <a:solidFill>
                          <a:srgbClr val="0070C0"/>
                        </a:solidFill>
                        <a:ln w="12700">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600" smtClean="0"/>
                              <a:t>N-2</a:t>
                            </a:r>
                            <a:endParaRPr lang="en-GB"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72" name="Oval 71"/>
                        <a:cNvSpPr/>
                      </a:nvSpPr>
                      <a:spPr>
                        <a:xfrm rot="5400000">
                          <a:off x="2555776" y="2060849"/>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4" name="Group 52"/>
                        <a:cNvGrpSpPr/>
                      </a:nvGrpSpPr>
                      <a:grpSpPr>
                        <a:xfrm rot="5400000" flipH="1">
                          <a:off x="2743758" y="1872866"/>
                          <a:ext cx="488131" cy="432048"/>
                          <a:chOff x="1784512" y="1646327"/>
                          <a:chExt cx="488131" cy="432048"/>
                        </a:xfrm>
                      </a:grpSpPr>
                      <a:sp>
                        <a:nvSpPr>
                          <a:cNvPr id="77" name="Oval 76"/>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Oval 77"/>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Oval 78"/>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74" name="Oval 73"/>
                        <a:cNvSpPr/>
                      </a:nvSpPr>
                      <a:spPr>
                        <a:xfrm rot="17530290" flipH="1" flipV="1">
                          <a:off x="2658572" y="162880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Oval 74"/>
                        <a:cNvSpPr/>
                      </a:nvSpPr>
                      <a:spPr>
                        <a:xfrm rot="18626236" flipH="1" flipV="1">
                          <a:off x="2730036" y="168488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Oval 75"/>
                        <a:cNvSpPr/>
                      </a:nvSpPr>
                      <a:spPr>
                        <a:xfrm rot="9893899" flipH="1" flipV="1">
                          <a:off x="2771800" y="1754167"/>
                          <a:ext cx="432048" cy="144016"/>
                        </a:xfrm>
                        <a:prstGeom prst="ellipse">
                          <a:avLst/>
                        </a:prstGeom>
                        <a:solidFill>
                          <a:srgbClr val="0070C0"/>
                        </a:solidFill>
                        <a:ln w="12700">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600" smtClean="0"/>
                              <a:t>N-1</a:t>
                            </a:r>
                            <a:endParaRPr lang="en-GB" sz="1600"/>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83" name="TextBox 82"/>
                      <a:cNvSpPr txBox="1"/>
                    </a:nvSpPr>
                    <a:spPr>
                      <a:xfrm>
                        <a:off x="1747929" y="1447800"/>
                        <a:ext cx="878767"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DL SB 0</a:t>
                          </a:r>
                          <a:endParaRPr lang="en-US"/>
                        </a:p>
                      </a:txBody>
                      <a:useSpRect/>
                    </a:txSp>
                  </a:sp>
                  <a:sp>
                    <a:nvSpPr>
                      <a:cNvPr id="84" name="TextBox 83"/>
                      <a:cNvSpPr txBox="1"/>
                    </a:nvSpPr>
                    <a:spPr>
                      <a:xfrm>
                        <a:off x="2926562" y="1447800"/>
                        <a:ext cx="878767"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DL SB 1</a:t>
                          </a:r>
                          <a:endParaRPr lang="en-US"/>
                        </a:p>
                      </a:txBody>
                      <a:useSpRect/>
                    </a:txSp>
                  </a:sp>
                  <a:sp>
                    <a:nvSpPr>
                      <a:cNvPr id="85" name="TextBox 84"/>
                      <a:cNvSpPr txBox="1"/>
                    </a:nvSpPr>
                    <a:spPr>
                      <a:xfrm>
                        <a:off x="5364962" y="1459468"/>
                        <a:ext cx="958917"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DL SB M</a:t>
                          </a:r>
                          <a:endParaRPr lang="en-US"/>
                        </a:p>
                      </a:txBody>
                      <a:useSpRect/>
                    </a:txSp>
                  </a:sp>
                  <a:sp>
                    <a:nvSpPr>
                      <a:cNvPr id="86" name="Rectangle 85"/>
                      <a:cNvSpPr/>
                    </a:nvSpPr>
                    <a:spPr>
                      <a:xfrm>
                        <a:off x="2814729" y="1981200"/>
                        <a:ext cx="1143000" cy="762000"/>
                      </a:xfrm>
                      <a:prstGeom prst="rect">
                        <a:avLst/>
                      </a:prstGeom>
                      <a:solidFill>
                        <a:srgbClr val="0070C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600" smtClean="0">
                              <a:solidFill>
                                <a:schemeClr val="bg1"/>
                              </a:solidFill>
                            </a:rPr>
                            <a:t>SS/SI for PCI</a:t>
                          </a:r>
                          <a:r>
                            <a:rPr lang="sv-SE" sz="1600" baseline="-25000" smtClean="0">
                              <a:solidFill>
                                <a:schemeClr val="bg1"/>
                              </a:solidFill>
                            </a:rPr>
                            <a:t>0</a:t>
                          </a:r>
                          <a:r>
                            <a:rPr lang="sv-SE" sz="1600" smtClean="0">
                              <a:solidFill>
                                <a:schemeClr val="bg1"/>
                              </a:solidFill>
                            </a:rPr>
                            <a:t> on beam</a:t>
                          </a:r>
                          <a:r>
                            <a:rPr lang="sv-SE" sz="1600" baseline="-25000" smtClean="0">
                              <a:solidFill>
                                <a:schemeClr val="bg1"/>
                              </a:solidFill>
                            </a:rPr>
                            <a:t>2</a:t>
                          </a:r>
                          <a:r>
                            <a:rPr lang="sv-SE" sz="1600" smtClean="0">
                              <a:solidFill>
                                <a:schemeClr val="bg1"/>
                              </a:solidFill>
                            </a:rPr>
                            <a:t> and beam</a:t>
                          </a:r>
                          <a:r>
                            <a:rPr lang="sv-SE" sz="1600" baseline="-25000" smtClean="0">
                              <a:solidFill>
                                <a:schemeClr val="bg1"/>
                              </a:solidFill>
                            </a:rPr>
                            <a:t>3</a:t>
                          </a:r>
                          <a:endParaRPr lang="en-US" sz="1600" baseline="-25000">
                            <a:solidFill>
                              <a:schemeClr val="bg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7" name="TextBox 86"/>
                      <a:cNvSpPr txBox="1"/>
                    </a:nvSpPr>
                    <a:spPr>
                      <a:xfrm>
                        <a:off x="4414929" y="2067580"/>
                        <a:ext cx="473206" cy="52322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800" b="1" smtClean="0"/>
                            <a:t>...</a:t>
                          </a:r>
                          <a:endParaRPr lang="en-US" sz="2800" b="1"/>
                        </a:p>
                      </a:txBody>
                      <a:useSpRect/>
                    </a:txSp>
                  </a:sp>
                  <a:sp>
                    <a:nvSpPr>
                      <a:cNvPr id="88" name="Rectangle 87"/>
                      <a:cNvSpPr/>
                    </a:nvSpPr>
                    <a:spPr>
                      <a:xfrm>
                        <a:off x="5253129" y="1981200"/>
                        <a:ext cx="1143000" cy="762000"/>
                      </a:xfrm>
                      <a:prstGeom prst="rect">
                        <a:avLst/>
                      </a:prstGeom>
                      <a:solidFill>
                        <a:srgbClr val="0070C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600" smtClean="0">
                              <a:solidFill>
                                <a:schemeClr val="bg1"/>
                              </a:solidFill>
                            </a:rPr>
                            <a:t>SS/SI for PCI</a:t>
                          </a:r>
                          <a:r>
                            <a:rPr lang="sv-SE" sz="1600" baseline="-25000" smtClean="0">
                              <a:solidFill>
                                <a:schemeClr val="bg1"/>
                              </a:solidFill>
                            </a:rPr>
                            <a:t>0</a:t>
                          </a:r>
                          <a:r>
                            <a:rPr lang="sv-SE" sz="1600" smtClean="0">
                              <a:solidFill>
                                <a:schemeClr val="bg1"/>
                              </a:solidFill>
                            </a:rPr>
                            <a:t> on beam</a:t>
                          </a:r>
                          <a:r>
                            <a:rPr lang="sv-SE" sz="1600" baseline="-25000" smtClean="0">
                              <a:solidFill>
                                <a:schemeClr val="bg1"/>
                              </a:solidFill>
                            </a:rPr>
                            <a:t>N-2</a:t>
                          </a:r>
                          <a:r>
                            <a:rPr lang="sv-SE" sz="1600" smtClean="0">
                              <a:solidFill>
                                <a:schemeClr val="bg1"/>
                              </a:solidFill>
                            </a:rPr>
                            <a:t> and beam</a:t>
                          </a:r>
                          <a:r>
                            <a:rPr lang="sv-SE" sz="1600" baseline="-25000" smtClean="0">
                              <a:solidFill>
                                <a:schemeClr val="bg1"/>
                              </a:solidFill>
                            </a:rPr>
                            <a:t>N-1</a:t>
                          </a:r>
                          <a:endParaRPr lang="en-US" sz="1600" baseline="-25000">
                            <a:solidFill>
                              <a:schemeClr val="bg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3" name="Straight Arrow Connector 72"/>
                      <a:cNvCxnSpPr/>
                    </a:nvCxnSpPr>
                    <a:spPr>
                      <a:xfrm>
                        <a:off x="457200" y="1981200"/>
                        <a:ext cx="12954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90" name="Straight Arrow Connector 89"/>
                      <a:cNvCxnSpPr/>
                    </a:nvCxnSpPr>
                    <a:spPr>
                      <a:xfrm>
                        <a:off x="381000" y="2743200"/>
                        <a:ext cx="12954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91" name="Straight Arrow Connector 90"/>
                      <a:cNvCxnSpPr/>
                    </a:nvCxnSpPr>
                    <a:spPr>
                      <a:xfrm>
                        <a:off x="3962400" y="2743200"/>
                        <a:ext cx="12954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92" name="Straight Arrow Connector 91"/>
                      <a:cNvCxnSpPr/>
                    </a:nvCxnSpPr>
                    <a:spPr>
                      <a:xfrm>
                        <a:off x="3962400" y="1981200"/>
                        <a:ext cx="12954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93" name="Straight Arrow Connector 92"/>
                      <a:cNvCxnSpPr/>
                    </a:nvCxnSpPr>
                    <a:spPr>
                      <a:xfrm>
                        <a:off x="6400800" y="2743200"/>
                        <a:ext cx="4572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94" name="Straight Arrow Connector 93"/>
                      <a:cNvCxnSpPr/>
                    </a:nvCxnSpPr>
                    <a:spPr>
                      <a:xfrm>
                        <a:off x="6400800" y="1981200"/>
                        <a:ext cx="4572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99" name="Straight Connector 98"/>
                      <a:cNvCxnSpPr/>
                    </a:nvCxnSpPr>
                    <a:spPr>
                      <a:xfrm flipV="1">
                        <a:off x="1676400" y="1219200"/>
                        <a:ext cx="0" cy="762000"/>
                      </a:xfrm>
                      <a:prstGeom prst="line">
                        <a:avLst/>
                      </a:prstGeom>
                      <a:ln w="2540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100" name="Straight Connector 99"/>
                      <a:cNvCxnSpPr/>
                    </a:nvCxnSpPr>
                    <a:spPr>
                      <a:xfrm flipV="1">
                        <a:off x="2819400" y="1219200"/>
                        <a:ext cx="0" cy="762000"/>
                      </a:xfrm>
                      <a:prstGeom prst="line">
                        <a:avLst/>
                      </a:prstGeom>
                      <a:ln w="2540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101" name="Straight Connector 100"/>
                      <a:cNvCxnSpPr/>
                    </a:nvCxnSpPr>
                    <a:spPr>
                      <a:xfrm flipV="1">
                        <a:off x="3962400" y="1219200"/>
                        <a:ext cx="0" cy="762000"/>
                      </a:xfrm>
                      <a:prstGeom prst="line">
                        <a:avLst/>
                      </a:prstGeom>
                      <a:ln w="2540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102" name="Straight Connector 101"/>
                      <a:cNvCxnSpPr/>
                    </a:nvCxnSpPr>
                    <a:spPr>
                      <a:xfrm flipV="1">
                        <a:off x="5257800" y="1219200"/>
                        <a:ext cx="0" cy="762000"/>
                      </a:xfrm>
                      <a:prstGeom prst="line">
                        <a:avLst/>
                      </a:prstGeom>
                      <a:ln w="2540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103" name="Straight Connector 102"/>
                      <a:cNvCxnSpPr/>
                    </a:nvCxnSpPr>
                    <a:spPr>
                      <a:xfrm flipV="1">
                        <a:off x="6400800" y="1219200"/>
                        <a:ext cx="0" cy="762000"/>
                      </a:xfrm>
                      <a:prstGeom prst="line">
                        <a:avLst/>
                      </a:prstGeom>
                      <a:ln w="25400">
                        <a:solidFill>
                          <a:schemeClr val="tx1"/>
                        </a:solidFill>
                        <a:prstDash val="dash"/>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F1145E" w:rsidRDefault="00A91ACA" w:rsidP="00A91ACA">
      <w:pPr>
        <w:pStyle w:val="Caption"/>
      </w:pPr>
      <w:bookmarkStart w:id="2" w:name="_Ref462770574"/>
      <w:r>
        <w:t xml:space="preserve">Figure </w:t>
      </w:r>
      <w:fldSimple w:instr=" SEQ Figure \* ARABIC ">
        <w:r>
          <w:rPr>
            <w:noProof/>
          </w:rPr>
          <w:t>1</w:t>
        </w:r>
      </w:fldSimple>
      <w:bookmarkEnd w:id="2"/>
      <w:r w:rsidR="00F1145E">
        <w:t>:</w:t>
      </w:r>
      <w:r>
        <w:t xml:space="preserve"> DL Sweeping Time Interval (STI) with M DL sweeping blocks (DL SBs). In this example, the SS/SI for cell PCI</w:t>
      </w:r>
      <w:r w:rsidRPr="00A91ACA">
        <w:rPr>
          <w:vertAlign w:val="subscript"/>
        </w:rPr>
        <w:t>0</w:t>
      </w:r>
      <w:r>
        <w:t xml:space="preserve"> is transmitted on different beams in each DL SB.</w:t>
      </w:r>
    </w:p>
    <w:p w:rsidR="00D2405C" w:rsidRDefault="00B26A4A" w:rsidP="002613D1">
      <w:pPr>
        <w:adjustRightInd/>
        <w:snapToGrid w:val="0"/>
        <w:spacing w:after="120" w:line="22" w:lineRule="atLeast"/>
        <w:jc w:val="both"/>
      </w:pPr>
      <w:r>
        <w:t>A DL STI includes at least an SS in each SB. Hence, in the case of multiple SBs per DL STI, a DL</w:t>
      </w:r>
      <w:r w:rsidR="009A5D9D">
        <w:t xml:space="preserve"> STI includes multiple SSs. In </w:t>
      </w:r>
      <w:r w:rsidR="00801107">
        <w:fldChar w:fldCharType="begin"/>
      </w:r>
      <w:r w:rsidR="009A5D9D">
        <w:instrText xml:space="preserve"> REF _Ref462778624 \n \h </w:instrText>
      </w:r>
      <w:r w:rsidR="00801107">
        <w:fldChar w:fldCharType="separate"/>
      </w:r>
      <w:r w:rsidR="009A5D9D">
        <w:t>[3]</w:t>
      </w:r>
      <w:r w:rsidR="00801107">
        <w:fldChar w:fldCharType="end"/>
      </w:r>
      <w:r>
        <w:t>, we propose to allow the repetition of the same SS (i.e. with</w:t>
      </w:r>
      <w:r w:rsidR="00582975">
        <w:t xml:space="preserve"> the same physical cell identifier</w:t>
      </w:r>
      <w:r>
        <w:t>, PCI) in multiple DL SBs in the same DL STI</w:t>
      </w:r>
      <w:r w:rsidR="00710C7C">
        <w:t xml:space="preserve">, as illustrated in </w:t>
      </w:r>
      <w:r w:rsidR="00801107">
        <w:fldChar w:fldCharType="begin"/>
      </w:r>
      <w:r w:rsidR="00710C7C">
        <w:instrText xml:space="preserve"> REF _Ref462770574 \h </w:instrText>
      </w:r>
      <w:r w:rsidR="00801107">
        <w:fldChar w:fldCharType="separate"/>
      </w:r>
      <w:r w:rsidR="00710C7C">
        <w:t xml:space="preserve">Figure </w:t>
      </w:r>
      <w:r w:rsidR="00710C7C">
        <w:rPr>
          <w:noProof/>
        </w:rPr>
        <w:t>1</w:t>
      </w:r>
      <w:r w:rsidR="00801107">
        <w:fldChar w:fldCharType="end"/>
      </w:r>
      <w:r>
        <w:t xml:space="preserve">. </w:t>
      </w:r>
      <w:r w:rsidR="007057D5">
        <w:t>In different DL SBs, the same SS could</w:t>
      </w:r>
      <w:r w:rsidR="00E06260">
        <w:rPr>
          <w:rFonts w:hint="eastAsia"/>
        </w:rPr>
        <w:t xml:space="preserve"> be</w:t>
      </w:r>
      <w:r w:rsidR="007057D5">
        <w:t xml:space="preserve"> transmitted on the same or different antenna ports, i.e. on the same or different beams. The same SS transmitted in different DL SBs could also be quasi collocated (QCL) or non quasi collocated (non-QCL), i.e. transmitted from the same or different TRPs. The different levels of correlation between SS in different DL SBs (same antenna port, different antenna ports but QCL, non QCL) result in </w:t>
      </w:r>
      <w:r w:rsidR="00DF56D1">
        <w:t>different levels of possible UE receiver combining</w:t>
      </w:r>
      <w:r w:rsidR="007057D5">
        <w:t xml:space="preserve"> </w:t>
      </w:r>
      <w:r w:rsidR="00DF56D1">
        <w:t>of</w:t>
      </w:r>
      <w:r w:rsidR="00A55C85">
        <w:t xml:space="preserve"> SSs and/or SI</w:t>
      </w:r>
      <w:r w:rsidR="00DF56D1">
        <w:t xml:space="preserve"> multiple DL SBs. Information about the STI structure</w:t>
      </w:r>
      <w:r w:rsidR="00A55C85">
        <w:t>,</w:t>
      </w:r>
      <w:r w:rsidR="00DF56D1">
        <w:t xml:space="preserve"> </w:t>
      </w:r>
      <w:r w:rsidR="00A55C85">
        <w:t xml:space="preserve">in terms of repetition, duration etc, </w:t>
      </w:r>
      <w:r w:rsidR="00DF56D1">
        <w:t xml:space="preserve">could be considered to be included in the SI. Also </w:t>
      </w:r>
      <w:r w:rsidR="00A55C85">
        <w:t xml:space="preserve">UE </w:t>
      </w:r>
      <w:r w:rsidR="00DF56D1">
        <w:t>without such assist</w:t>
      </w:r>
      <w:r w:rsidR="00A55C85">
        <w:t xml:space="preserve">ance information could evaluate different SS repetition hypotheses with limited additional complexity. HARQ </w:t>
      </w:r>
      <w:r w:rsidR="0039096E">
        <w:t xml:space="preserve">soft </w:t>
      </w:r>
      <w:r w:rsidR="00A55C85">
        <w:t xml:space="preserve">combining of the broadcast channels received on multiple DL SBs is </w:t>
      </w:r>
      <w:r w:rsidR="0039096E">
        <w:t>possible</w:t>
      </w:r>
      <w:r w:rsidR="00A55C85">
        <w:t xml:space="preserve"> also without QCL between the SBs.</w:t>
      </w:r>
    </w:p>
    <w:p w:rsidR="001A29FE" w:rsidRDefault="005F2183" w:rsidP="002613D1">
      <w:pPr>
        <w:adjustRightInd/>
        <w:snapToGrid w:val="0"/>
        <w:spacing w:after="120" w:line="22" w:lineRule="atLeast"/>
        <w:jc w:val="both"/>
      </w:pPr>
      <w:r>
        <w:t>In order to camp on the best cell, t</w:t>
      </w:r>
      <w:r w:rsidR="00A91ACA">
        <w:t xml:space="preserve">he idle UE needs to perform RRM measurements on the cells it detects. </w:t>
      </w:r>
      <w:r>
        <w:t>When</w:t>
      </w:r>
      <w:r w:rsidR="00A91ACA">
        <w:t xml:space="preserve"> </w:t>
      </w:r>
      <w:r>
        <w:t>a</w:t>
      </w:r>
      <w:r w:rsidR="00A91ACA">
        <w:t xml:space="preserve"> cell transmits </w:t>
      </w:r>
      <w:r>
        <w:t>a DL STI with</w:t>
      </w:r>
      <w:r w:rsidR="00A91ACA">
        <w:t xml:space="preserve"> multiple DL SBs, </w:t>
      </w:r>
      <w:r>
        <w:t xml:space="preserve">then </w:t>
      </w:r>
      <w:r w:rsidR="00A91ACA">
        <w:t>the UE can obtain several measurement results</w:t>
      </w:r>
      <w:r w:rsidR="00E3415B">
        <w:t xml:space="preserve"> for the cell</w:t>
      </w:r>
      <w:r w:rsidR="00A91ACA">
        <w:t xml:space="preserve">, </w:t>
      </w:r>
      <w:r w:rsidR="00A91ACA">
        <w:lastRenderedPageBreak/>
        <w:t>each corresponding to a DL SB</w:t>
      </w:r>
      <w:r>
        <w:t>,</w:t>
      </w:r>
      <w:r w:rsidR="00A91ACA">
        <w:t xml:space="preserve"> within a DL STI, but possibly based on measurements on multiple STIs.</w:t>
      </w:r>
      <w:r>
        <w:t xml:space="preserve"> If the </w:t>
      </w:r>
      <w:r w:rsidR="00E3415B">
        <w:t xml:space="preserve">UE has obtained information that </w:t>
      </w:r>
      <w:r>
        <w:t>different DL SBs correspond to the same antenna port, e.g. for single-beam with SB repetition, then the UE can average the measurement results for improved accuracy. Otherwise,</w:t>
      </w:r>
      <w:r w:rsidR="00E3415B">
        <w:t xml:space="preserve"> for example if the UE has obtained no information about the cell,</w:t>
      </w:r>
      <w:r>
        <w:t xml:space="preserve"> the UE can select the highest </w:t>
      </w:r>
      <w:r w:rsidR="00E3415B">
        <w:t xml:space="preserve">measurement </w:t>
      </w:r>
      <w:r>
        <w:t>result among the SBs. Also other mechanisms could be considered.</w:t>
      </w:r>
    </w:p>
    <w:p w:rsidR="00FA4444" w:rsidRDefault="00AD20A2" w:rsidP="002613D1">
      <w:pPr>
        <w:adjustRightInd/>
        <w:snapToGrid w:val="0"/>
        <w:spacing w:afterLines="50" w:line="22" w:lineRule="atLeast"/>
        <w:jc w:val="both"/>
        <w:rPr>
          <w:b/>
          <w:i/>
        </w:rPr>
      </w:pPr>
      <w:r w:rsidRPr="00910DF5">
        <w:rPr>
          <w:b/>
          <w:i/>
        </w:rPr>
        <w:t>Proposal</w:t>
      </w:r>
      <w:r w:rsidRPr="00910DF5">
        <w:rPr>
          <w:rFonts w:hint="eastAsia"/>
          <w:b/>
          <w:i/>
        </w:rPr>
        <w:t xml:space="preserve"> </w:t>
      </w:r>
      <w:r>
        <w:rPr>
          <w:b/>
          <w:i/>
        </w:rPr>
        <w:t>1</w:t>
      </w:r>
      <w:r w:rsidRPr="00910DF5">
        <w:rPr>
          <w:b/>
          <w:i/>
        </w:rPr>
        <w:t>:</w:t>
      </w:r>
      <w:r w:rsidRPr="00910DF5">
        <w:rPr>
          <w:rFonts w:hint="eastAsia"/>
          <w:b/>
          <w:i/>
        </w:rPr>
        <w:t xml:space="preserve"> </w:t>
      </w:r>
      <w:r>
        <w:rPr>
          <w:b/>
          <w:i/>
        </w:rPr>
        <w:t>NR idle UEs measure candidate cells based on signals in DL STIs.</w:t>
      </w:r>
    </w:p>
    <w:p w:rsidR="00FA4444" w:rsidRDefault="00083A58" w:rsidP="002613D1">
      <w:pPr>
        <w:adjustRightInd/>
        <w:snapToGrid w:val="0"/>
        <w:spacing w:afterLines="50" w:line="22" w:lineRule="atLeast"/>
        <w:jc w:val="both"/>
        <w:rPr>
          <w:b/>
          <w:i/>
        </w:rPr>
      </w:pPr>
      <w:r>
        <w:rPr>
          <w:b/>
          <w:i/>
        </w:rPr>
        <w:t>Proposal 2: NR idle UEs can assume that an NR cell periodically transmits a DL STI.</w:t>
      </w:r>
    </w:p>
    <w:p w:rsidR="00FA4444" w:rsidRDefault="00AD20A2" w:rsidP="002613D1">
      <w:pPr>
        <w:adjustRightInd/>
        <w:snapToGrid w:val="0"/>
        <w:spacing w:afterLines="50" w:line="22" w:lineRule="atLeast"/>
        <w:jc w:val="both"/>
        <w:rPr>
          <w:b/>
          <w:i/>
        </w:rPr>
      </w:pPr>
      <w:r w:rsidRPr="00910DF5">
        <w:rPr>
          <w:b/>
          <w:i/>
        </w:rPr>
        <w:t>Proposal</w:t>
      </w:r>
      <w:r w:rsidRPr="00910DF5">
        <w:rPr>
          <w:rFonts w:hint="eastAsia"/>
          <w:b/>
          <w:i/>
        </w:rPr>
        <w:t xml:space="preserve"> </w:t>
      </w:r>
      <w:r w:rsidR="00083A58">
        <w:rPr>
          <w:b/>
          <w:i/>
        </w:rPr>
        <w:t>3</w:t>
      </w:r>
      <w:r w:rsidRPr="00910DF5">
        <w:rPr>
          <w:b/>
          <w:i/>
        </w:rPr>
        <w:t>:</w:t>
      </w:r>
      <w:r w:rsidRPr="00910DF5">
        <w:rPr>
          <w:rFonts w:hint="eastAsia"/>
          <w:b/>
          <w:i/>
        </w:rPr>
        <w:t xml:space="preserve"> </w:t>
      </w:r>
      <w:r>
        <w:rPr>
          <w:b/>
          <w:i/>
        </w:rPr>
        <w:t>For NR cells with DL STIs with multiple DL SBs, the idle UE camps on the NR cell with the strongest/best DL SB.</w:t>
      </w:r>
    </w:p>
    <w:p w:rsidR="00B31DEC" w:rsidRDefault="00B31DEC" w:rsidP="00FC35D7">
      <w:pPr>
        <w:pStyle w:val="Heading2"/>
        <w:numPr>
          <w:ilvl w:val="0"/>
          <w:numId w:val="12"/>
        </w:numPr>
        <w:rPr>
          <w:lang w:eastAsia="zh-CN"/>
        </w:rPr>
      </w:pPr>
      <w:r>
        <w:rPr>
          <w:lang w:eastAsia="zh-CN"/>
        </w:rPr>
        <w:t>Connected Mode</w:t>
      </w:r>
      <w:r w:rsidR="006506EE">
        <w:rPr>
          <w:lang w:eastAsia="zh-CN"/>
        </w:rPr>
        <w:t xml:space="preserve"> </w:t>
      </w:r>
      <w:r w:rsidR="008721F4">
        <w:rPr>
          <w:lang w:eastAsia="zh-CN"/>
        </w:rPr>
        <w:t>Mobility</w:t>
      </w:r>
    </w:p>
    <w:p w:rsidR="00F42709" w:rsidRDefault="00F42709" w:rsidP="002613D1">
      <w:pPr>
        <w:spacing w:line="22" w:lineRule="atLeast"/>
        <w:rPr>
          <w:lang w:val="en-GB"/>
        </w:rPr>
      </w:pPr>
      <w:r>
        <w:rPr>
          <w:lang w:val="en-GB"/>
        </w:rPr>
        <w:t>For connected mode, there are two levels of mobility</w:t>
      </w:r>
      <w:r w:rsidR="00225C26">
        <w:rPr>
          <w:lang w:val="en-GB"/>
        </w:rPr>
        <w:t xml:space="preserve"> agreed</w:t>
      </w:r>
      <w:r>
        <w:rPr>
          <w:lang w:val="en-GB"/>
        </w:rPr>
        <w:t xml:space="preserve">: </w:t>
      </w:r>
    </w:p>
    <w:p w:rsidR="00F42709" w:rsidRPr="00F42709" w:rsidRDefault="00F42709" w:rsidP="002613D1">
      <w:pPr>
        <w:spacing w:line="22" w:lineRule="atLeast"/>
        <w:rPr>
          <w:lang w:val="en-GB"/>
        </w:rPr>
      </w:pPr>
      <w:r w:rsidRPr="00F42709">
        <w:rPr>
          <w:lang w:val="en-GB"/>
        </w:rPr>
        <w:t xml:space="preserve">1: </w:t>
      </w:r>
      <w:r w:rsidR="00C766A6">
        <w:rPr>
          <w:lang w:val="en-GB"/>
        </w:rPr>
        <w:t>(</w:t>
      </w:r>
      <w:r w:rsidR="009438D0">
        <w:rPr>
          <w:lang w:val="en-GB"/>
        </w:rPr>
        <w:t>Higher-layer</w:t>
      </w:r>
      <w:r w:rsidR="00C766A6">
        <w:rPr>
          <w:lang w:val="en-GB"/>
        </w:rPr>
        <w:t xml:space="preserve">) </w:t>
      </w:r>
      <w:r w:rsidRPr="00F42709">
        <w:rPr>
          <w:lang w:val="en-GB"/>
        </w:rPr>
        <w:t>RRC driven at 'cell' level.</w:t>
      </w:r>
    </w:p>
    <w:p w:rsidR="00F42709" w:rsidRDefault="00F42709" w:rsidP="002613D1">
      <w:pPr>
        <w:spacing w:line="22" w:lineRule="atLeast"/>
        <w:rPr>
          <w:lang w:val="en-GB"/>
        </w:rPr>
      </w:pPr>
      <w:r>
        <w:rPr>
          <w:lang w:val="en-GB"/>
        </w:rPr>
        <w:t xml:space="preserve">2: </w:t>
      </w:r>
      <w:r w:rsidR="00C766A6">
        <w:rPr>
          <w:lang w:val="en-GB"/>
        </w:rPr>
        <w:t>(</w:t>
      </w:r>
      <w:r w:rsidR="009438D0">
        <w:rPr>
          <w:lang w:val="en-GB"/>
        </w:rPr>
        <w:t>Lower-layer</w:t>
      </w:r>
      <w:r w:rsidR="00C766A6">
        <w:rPr>
          <w:lang w:val="en-GB"/>
        </w:rPr>
        <w:t xml:space="preserve">) </w:t>
      </w:r>
      <w:r>
        <w:rPr>
          <w:lang w:val="en-GB"/>
        </w:rPr>
        <w:t xml:space="preserve">Zero/Minimum RRC </w:t>
      </w:r>
      <w:r w:rsidRPr="00F42709">
        <w:rPr>
          <w:lang w:val="en-GB"/>
        </w:rPr>
        <w:t>involvement (e.g. at MAC /PHY)</w:t>
      </w:r>
    </w:p>
    <w:p w:rsidR="00F42709" w:rsidRDefault="00F42709" w:rsidP="002613D1">
      <w:pPr>
        <w:snapToGrid w:val="0"/>
        <w:spacing w:line="22" w:lineRule="atLeast"/>
        <w:jc w:val="both"/>
        <w:rPr>
          <w:lang w:val="en-GB"/>
        </w:rPr>
      </w:pPr>
      <w:r>
        <w:rPr>
          <w:lang w:val="en-GB"/>
        </w:rPr>
        <w:t xml:space="preserve">We can call the first level </w:t>
      </w:r>
      <w:r w:rsidR="009438D0">
        <w:rPr>
          <w:lang w:val="en-GB"/>
        </w:rPr>
        <w:t>higher-layer</w:t>
      </w:r>
      <w:r>
        <w:rPr>
          <w:lang w:val="en-GB"/>
        </w:rPr>
        <w:t xml:space="preserve"> mobility and the second level </w:t>
      </w:r>
      <w:r w:rsidR="009438D0">
        <w:rPr>
          <w:lang w:val="en-GB"/>
        </w:rPr>
        <w:t>lower-layer</w:t>
      </w:r>
      <w:r>
        <w:rPr>
          <w:lang w:val="en-GB"/>
        </w:rPr>
        <w:t xml:space="preserve"> mobility. For </w:t>
      </w:r>
      <w:r w:rsidR="009438D0">
        <w:rPr>
          <w:lang w:val="en-GB"/>
        </w:rPr>
        <w:t>higher-layer</w:t>
      </w:r>
      <w:r>
        <w:rPr>
          <w:lang w:val="en-GB"/>
        </w:rPr>
        <w:t xml:space="preserve"> mobility, RAN2 prefers that the UE should be able to use non-U</w:t>
      </w:r>
      <w:r w:rsidR="00225C26">
        <w:rPr>
          <w:lang w:val="en-GB"/>
        </w:rPr>
        <w:t>E specific RS for measurements. This would correspond to the signals in DL STIs that are also available to idle mode UEs.</w:t>
      </w:r>
    </w:p>
    <w:p w:rsidR="002613D1" w:rsidRDefault="002613D1" w:rsidP="002613D1">
      <w:pPr>
        <w:snapToGrid w:val="0"/>
        <w:spacing w:line="22" w:lineRule="atLeast"/>
        <w:jc w:val="both"/>
        <w:rPr>
          <w:lang w:val="en-GB"/>
        </w:rPr>
      </w:pPr>
    </w:p>
    <w:p w:rsidR="00133880" w:rsidRDefault="00133880" w:rsidP="002613D1">
      <w:pPr>
        <w:adjustRightInd/>
        <w:snapToGrid w:val="0"/>
        <w:spacing w:afterLines="50" w:line="22" w:lineRule="atLeast"/>
        <w:jc w:val="both"/>
        <w:rPr>
          <w:b/>
          <w:i/>
        </w:rPr>
      </w:pPr>
      <w:r w:rsidRPr="00910DF5">
        <w:rPr>
          <w:b/>
          <w:i/>
        </w:rPr>
        <w:t>Proposal</w:t>
      </w:r>
      <w:r w:rsidRPr="00910DF5">
        <w:rPr>
          <w:rFonts w:hint="eastAsia"/>
          <w:b/>
          <w:i/>
        </w:rPr>
        <w:t xml:space="preserve"> </w:t>
      </w:r>
      <w:r w:rsidR="00083A58">
        <w:rPr>
          <w:b/>
          <w:i/>
        </w:rPr>
        <w:t>4</w:t>
      </w:r>
      <w:r w:rsidRPr="00910DF5">
        <w:rPr>
          <w:b/>
          <w:i/>
        </w:rPr>
        <w:t>:</w:t>
      </w:r>
      <w:r w:rsidRPr="00910DF5">
        <w:rPr>
          <w:rFonts w:hint="eastAsia"/>
          <w:b/>
          <w:i/>
        </w:rPr>
        <w:t xml:space="preserve"> </w:t>
      </w:r>
      <w:r w:rsidR="00225C26">
        <w:rPr>
          <w:b/>
          <w:i/>
        </w:rPr>
        <w:t>NR supports RRC driven mobility based on UE measurements on non-UE specific signals in DL STIs</w:t>
      </w:r>
      <w:r>
        <w:rPr>
          <w:b/>
          <w:i/>
        </w:rPr>
        <w:t>.</w:t>
      </w:r>
    </w:p>
    <w:p w:rsidR="00582975" w:rsidRDefault="00C030FD" w:rsidP="002613D1">
      <w:pPr>
        <w:adjustRightInd/>
        <w:snapToGrid w:val="0"/>
        <w:spacing w:after="120" w:line="22" w:lineRule="atLeast"/>
        <w:jc w:val="both"/>
      </w:pPr>
      <w:r>
        <w:t>Th</w:t>
      </w:r>
      <w:r w:rsidR="009438D0">
        <w:t>e</w:t>
      </w:r>
      <w:r w:rsidR="002613D1">
        <w:t xml:space="preserve"> </w:t>
      </w:r>
      <w:r>
        <w:t>measurements</w:t>
      </w:r>
      <w:r w:rsidR="009438D0">
        <w:t xml:space="preserve"> for higher-level mobility</w:t>
      </w:r>
      <w:r>
        <w:t xml:space="preserve"> can be based on a UE specific RS configuration and the configuration </w:t>
      </w:r>
      <w:r w:rsidR="002B7DE8">
        <w:t>does not preclude using</w:t>
      </w:r>
      <w:r>
        <w:t xml:space="preserve"> non-UE specific signals.</w:t>
      </w:r>
    </w:p>
    <w:p w:rsidR="00C030FD" w:rsidRPr="00C030FD" w:rsidRDefault="00C030FD" w:rsidP="002613D1">
      <w:pPr>
        <w:adjustRightInd/>
        <w:snapToGrid w:val="0"/>
        <w:spacing w:afterLines="50" w:line="22" w:lineRule="atLeast"/>
        <w:jc w:val="both"/>
        <w:rPr>
          <w:b/>
          <w:i/>
        </w:rPr>
      </w:pPr>
      <w:r w:rsidRPr="00910DF5">
        <w:rPr>
          <w:b/>
          <w:i/>
        </w:rPr>
        <w:t>Proposal</w:t>
      </w:r>
      <w:r w:rsidRPr="00910DF5">
        <w:rPr>
          <w:rFonts w:hint="eastAsia"/>
          <w:b/>
          <w:i/>
        </w:rPr>
        <w:t xml:space="preserve"> </w:t>
      </w:r>
      <w:r w:rsidR="00083A58">
        <w:rPr>
          <w:b/>
          <w:i/>
        </w:rPr>
        <w:t>5</w:t>
      </w:r>
      <w:r w:rsidRPr="00910DF5">
        <w:rPr>
          <w:b/>
          <w:i/>
        </w:rPr>
        <w:t>:</w:t>
      </w:r>
      <w:r w:rsidRPr="00910DF5">
        <w:rPr>
          <w:rFonts w:hint="eastAsia"/>
          <w:b/>
          <w:i/>
        </w:rPr>
        <w:t xml:space="preserve"> </w:t>
      </w:r>
      <w:r>
        <w:rPr>
          <w:b/>
          <w:i/>
        </w:rPr>
        <w:t>NR supports RRC driven mobility based on UE measurements on RS</w:t>
      </w:r>
      <w:r w:rsidR="007D3E2E">
        <w:rPr>
          <w:rFonts w:hint="eastAsia"/>
          <w:b/>
          <w:i/>
        </w:rPr>
        <w:t xml:space="preserve"> configured in UE specific manner</w:t>
      </w:r>
      <w:r>
        <w:rPr>
          <w:b/>
          <w:i/>
        </w:rPr>
        <w:t xml:space="preserve">. </w:t>
      </w:r>
    </w:p>
    <w:p w:rsidR="00EF4D67" w:rsidRDefault="00C030FD" w:rsidP="002613D1">
      <w:pPr>
        <w:adjustRightInd/>
        <w:snapToGrid w:val="0"/>
        <w:spacing w:after="120" w:line="22" w:lineRule="atLeast"/>
        <w:jc w:val="both"/>
      </w:pPr>
      <w:r>
        <w:t>For example, a UE can be informed of some DL STI properties of a neighbor cell, e.g. PCI and repetition.</w:t>
      </w:r>
      <w:r w:rsidR="00EF4D67">
        <w:t xml:space="preserve"> This is an example of a UE specific configuration for non-UE specific signals.</w:t>
      </w:r>
      <w:r w:rsidR="002B7DE8">
        <w:t xml:space="preserve"> RRC driven mobility can also be based on measurements signals such as beam RS, which could be seen as non-UE specific or UE specific.</w:t>
      </w:r>
      <w:r w:rsidR="00EF4D67">
        <w:t xml:space="preserve"> Our companion contribution </w:t>
      </w:r>
      <w:r w:rsidR="00801107">
        <w:fldChar w:fldCharType="begin"/>
      </w:r>
      <w:r w:rsidR="009A5D9D">
        <w:instrText xml:space="preserve"> REF _Ref462778656 \n \h </w:instrText>
      </w:r>
      <w:r w:rsidR="00801107">
        <w:fldChar w:fldCharType="separate"/>
      </w:r>
      <w:r w:rsidR="009A5D9D">
        <w:t>[4]</w:t>
      </w:r>
      <w:r w:rsidR="00801107">
        <w:fldChar w:fldCharType="end"/>
      </w:r>
      <w:r w:rsidR="009A5D9D">
        <w:t xml:space="preserve"> </w:t>
      </w:r>
      <w:r w:rsidR="00EF4D67">
        <w:t>further discusses RRC driven mobility and the corresponding measurements.</w:t>
      </w:r>
    </w:p>
    <w:p w:rsidR="00EF4D67" w:rsidRDefault="00225C26" w:rsidP="002613D1">
      <w:pPr>
        <w:adjustRightInd/>
        <w:snapToGrid w:val="0"/>
        <w:spacing w:after="120" w:line="22" w:lineRule="atLeast"/>
        <w:jc w:val="both"/>
      </w:pPr>
      <w:r>
        <w:t xml:space="preserve">For </w:t>
      </w:r>
      <w:r w:rsidR="009438D0">
        <w:t>lower-layer</w:t>
      </w:r>
      <w:r>
        <w:t xml:space="preserve"> mobility, it is up to RAN1 to define RS and corresponding measurements to support efficient </w:t>
      </w:r>
      <w:r w:rsidR="00EF4D67">
        <w:t xml:space="preserve">operation. Our companion contribution </w:t>
      </w:r>
      <w:r w:rsidR="00801107">
        <w:fldChar w:fldCharType="begin"/>
      </w:r>
      <w:r w:rsidR="009A5D9D">
        <w:instrText xml:space="preserve"> REF _Ref462778667 \n \h </w:instrText>
      </w:r>
      <w:r w:rsidR="00801107">
        <w:fldChar w:fldCharType="separate"/>
      </w:r>
      <w:r w:rsidR="009A5D9D">
        <w:t>[5]</w:t>
      </w:r>
      <w:r w:rsidR="00801107">
        <w:fldChar w:fldCharType="end"/>
      </w:r>
      <w:r w:rsidR="00EF4D67">
        <w:t xml:space="preserve"> further discusses beam RS (BRS). </w:t>
      </w:r>
    </w:p>
    <w:p w:rsidR="00100B78" w:rsidRDefault="00EF4D67" w:rsidP="002613D1">
      <w:pPr>
        <w:adjustRightInd/>
        <w:snapToGrid w:val="0"/>
        <w:spacing w:after="120" w:line="22" w:lineRule="atLeast"/>
        <w:jc w:val="both"/>
      </w:pPr>
      <w:r>
        <w:t>It can be noted that BRS</w:t>
      </w:r>
      <w:r w:rsidR="00EF09A6">
        <w:t xml:space="preserve"> (and other RS)</w:t>
      </w:r>
      <w:r>
        <w:t xml:space="preserve"> supporting </w:t>
      </w:r>
      <w:r w:rsidR="00905C53">
        <w:t>lower-layer</w:t>
      </w:r>
      <w:r>
        <w:t xml:space="preserve"> </w:t>
      </w:r>
      <w:r w:rsidR="00EF09A6">
        <w:t xml:space="preserve">measurements and </w:t>
      </w:r>
      <w:r>
        <w:t xml:space="preserve">mobility are </w:t>
      </w:r>
      <w:r w:rsidR="00EF09A6">
        <w:t xml:space="preserve">typically </w:t>
      </w:r>
      <w:r>
        <w:t xml:space="preserve">much more flexible and can be better adapted to the deployment scenario than the </w:t>
      </w:r>
      <w:r w:rsidR="00EF09A6">
        <w:t xml:space="preserve">RS and measurements supporting the </w:t>
      </w:r>
      <w:r w:rsidR="00905C53">
        <w:t>higher-layer</w:t>
      </w:r>
      <w:r w:rsidR="00EF09A6">
        <w:t xml:space="preserve"> </w:t>
      </w:r>
      <w:r w:rsidR="00905C53">
        <w:t>mobility</w:t>
      </w:r>
      <w:r w:rsidR="00EF09A6">
        <w:t xml:space="preserve">, in particular if only non-UE specific RS are used. For example, BRS-based mobility could support more and narrower beams, advanced CoMP schemes etc. Therefore, </w:t>
      </w:r>
      <w:r w:rsidR="00F3170B">
        <w:t xml:space="preserve">RAN1 should strive to enable </w:t>
      </w:r>
      <w:r w:rsidR="00EF09A6">
        <w:t xml:space="preserve">NR </w:t>
      </w:r>
      <w:r w:rsidR="00F3170B">
        <w:t>support of in</w:t>
      </w:r>
      <w:r w:rsidR="00EF09A6">
        <w:t>ter-TRP mobility using RS and corresponding measu</w:t>
      </w:r>
      <w:r w:rsidR="00117508">
        <w:t xml:space="preserve">rements for </w:t>
      </w:r>
      <w:r w:rsidR="00905C53">
        <w:t>lower-layer</w:t>
      </w:r>
      <w:r w:rsidR="00117508">
        <w:t xml:space="preserve"> mobility, i.e. without </w:t>
      </w:r>
      <w:r w:rsidR="00905C53">
        <w:t>having to rely on</w:t>
      </w:r>
      <w:r w:rsidR="00117508">
        <w:t xml:space="preserve"> non-UE specific signals</w:t>
      </w:r>
      <w:r w:rsidR="00905C53">
        <w:t>, at least when the TRPs are synchronized</w:t>
      </w:r>
      <w:r w:rsidR="00117508">
        <w:t>.</w:t>
      </w:r>
      <w:r w:rsidR="00F3170B">
        <w:t xml:space="preserve"> </w:t>
      </w:r>
    </w:p>
    <w:p w:rsidR="00100B78" w:rsidRDefault="00100B78" w:rsidP="002613D1">
      <w:pPr>
        <w:adjustRightInd/>
        <w:snapToGrid w:val="0"/>
        <w:spacing w:after="120" w:line="22" w:lineRule="atLeast"/>
        <w:jc w:val="both"/>
      </w:pPr>
      <w:r w:rsidRPr="00910DF5">
        <w:rPr>
          <w:b/>
          <w:i/>
        </w:rPr>
        <w:t>Proposal</w:t>
      </w:r>
      <w:r w:rsidRPr="00910DF5">
        <w:rPr>
          <w:rFonts w:hint="eastAsia"/>
          <w:b/>
          <w:i/>
        </w:rPr>
        <w:t xml:space="preserve"> </w:t>
      </w:r>
      <w:r>
        <w:rPr>
          <w:b/>
          <w:i/>
        </w:rPr>
        <w:t>6</w:t>
      </w:r>
      <w:r w:rsidRPr="00910DF5">
        <w:rPr>
          <w:b/>
          <w:i/>
        </w:rPr>
        <w:t>:</w:t>
      </w:r>
      <w:r>
        <w:rPr>
          <w:b/>
          <w:i/>
        </w:rPr>
        <w:t xml:space="preserve"> RAN1 studies connected mobility between synchronized TRPs</w:t>
      </w:r>
      <w:r w:rsidRPr="00F32506">
        <w:rPr>
          <w:b/>
          <w:i/>
        </w:rPr>
        <w:t xml:space="preserve"> </w:t>
      </w:r>
      <w:r>
        <w:rPr>
          <w:b/>
          <w:i/>
        </w:rPr>
        <w:t>with zero/minimum RRC involvement (e.g. at MAC/PHY)</w:t>
      </w:r>
      <w:r w:rsidRPr="00C030FD">
        <w:rPr>
          <w:b/>
          <w:i/>
        </w:rPr>
        <w:t>.</w:t>
      </w:r>
    </w:p>
    <w:p w:rsidR="00F1510A" w:rsidRDefault="00F1510A" w:rsidP="00FC35D7">
      <w:pPr>
        <w:pStyle w:val="Heading2"/>
        <w:numPr>
          <w:ilvl w:val="0"/>
          <w:numId w:val="12"/>
        </w:numPr>
        <w:rPr>
          <w:lang w:eastAsia="zh-CN"/>
        </w:rPr>
      </w:pPr>
      <w:r>
        <w:rPr>
          <w:lang w:eastAsia="zh-CN"/>
        </w:rPr>
        <w:t>Conclusions</w:t>
      </w:r>
    </w:p>
    <w:p w:rsidR="00897F2F" w:rsidRDefault="00E87771" w:rsidP="002613D1">
      <w:pPr>
        <w:spacing w:after="240" w:line="22" w:lineRule="atLeast"/>
      </w:pPr>
      <w:r>
        <w:t>The f</w:t>
      </w:r>
      <w:r w:rsidR="00D0360C">
        <w:t xml:space="preserve">ollowing </w:t>
      </w:r>
      <w:r>
        <w:t>was proposed above</w:t>
      </w:r>
      <w:r w:rsidR="00D0360C">
        <w:t>:</w:t>
      </w:r>
      <w:r w:rsidR="00A508F9">
        <w:rPr>
          <w:rFonts w:hint="eastAsia"/>
        </w:rPr>
        <w:t xml:space="preserve"> </w:t>
      </w:r>
    </w:p>
    <w:p w:rsidR="00905C53" w:rsidRDefault="00905C53" w:rsidP="002613D1">
      <w:pPr>
        <w:adjustRightInd/>
        <w:snapToGrid w:val="0"/>
        <w:spacing w:afterLines="50" w:line="22" w:lineRule="atLeast"/>
        <w:jc w:val="both"/>
        <w:rPr>
          <w:b/>
          <w:i/>
        </w:rPr>
      </w:pPr>
      <w:r w:rsidRPr="00910DF5">
        <w:rPr>
          <w:b/>
          <w:i/>
        </w:rPr>
        <w:t>Proposal</w:t>
      </w:r>
      <w:r w:rsidRPr="00910DF5">
        <w:rPr>
          <w:rFonts w:hint="eastAsia"/>
          <w:b/>
          <w:i/>
        </w:rPr>
        <w:t xml:space="preserve"> </w:t>
      </w:r>
      <w:r>
        <w:rPr>
          <w:b/>
          <w:i/>
        </w:rPr>
        <w:t>1</w:t>
      </w:r>
      <w:r w:rsidRPr="00910DF5">
        <w:rPr>
          <w:b/>
          <w:i/>
        </w:rPr>
        <w:t>:</w:t>
      </w:r>
      <w:r w:rsidRPr="00910DF5">
        <w:rPr>
          <w:rFonts w:hint="eastAsia"/>
          <w:b/>
          <w:i/>
        </w:rPr>
        <w:t xml:space="preserve"> </w:t>
      </w:r>
      <w:r>
        <w:rPr>
          <w:b/>
          <w:i/>
        </w:rPr>
        <w:t>NR idle UEs measure candidate cells based on signals in DL STIs.</w:t>
      </w:r>
    </w:p>
    <w:p w:rsidR="00905C53" w:rsidRDefault="00905C53" w:rsidP="002613D1">
      <w:pPr>
        <w:adjustRightInd/>
        <w:snapToGrid w:val="0"/>
        <w:spacing w:afterLines="50" w:line="22" w:lineRule="atLeast"/>
        <w:jc w:val="both"/>
        <w:rPr>
          <w:b/>
          <w:i/>
        </w:rPr>
      </w:pPr>
      <w:r>
        <w:rPr>
          <w:b/>
          <w:i/>
        </w:rPr>
        <w:t>Proposal 2: NR idle UEs can assume that an NR cell periodically transmits a DL STI.</w:t>
      </w:r>
    </w:p>
    <w:p w:rsidR="00905C53" w:rsidRDefault="00905C53" w:rsidP="002613D1">
      <w:pPr>
        <w:adjustRightInd/>
        <w:snapToGrid w:val="0"/>
        <w:spacing w:afterLines="50" w:line="22" w:lineRule="atLeast"/>
        <w:jc w:val="both"/>
        <w:rPr>
          <w:b/>
          <w:i/>
        </w:rPr>
      </w:pPr>
      <w:r w:rsidRPr="00910DF5">
        <w:rPr>
          <w:b/>
          <w:i/>
        </w:rPr>
        <w:t>Proposal</w:t>
      </w:r>
      <w:r w:rsidRPr="00910DF5">
        <w:rPr>
          <w:rFonts w:hint="eastAsia"/>
          <w:b/>
          <w:i/>
        </w:rPr>
        <w:t xml:space="preserve"> </w:t>
      </w:r>
      <w:r>
        <w:rPr>
          <w:b/>
          <w:i/>
        </w:rPr>
        <w:t>3</w:t>
      </w:r>
      <w:r w:rsidRPr="00910DF5">
        <w:rPr>
          <w:b/>
          <w:i/>
        </w:rPr>
        <w:t>:</w:t>
      </w:r>
      <w:r w:rsidRPr="00910DF5">
        <w:rPr>
          <w:rFonts w:hint="eastAsia"/>
          <w:b/>
          <w:i/>
        </w:rPr>
        <w:t xml:space="preserve"> </w:t>
      </w:r>
      <w:r>
        <w:rPr>
          <w:b/>
          <w:i/>
        </w:rPr>
        <w:t>For NR cells with DL STIs with multiple DL SBs, the idle UE camps on the NR cell with the strongest/best DL SB.</w:t>
      </w:r>
    </w:p>
    <w:p w:rsidR="00905C53" w:rsidRDefault="00905C53" w:rsidP="002613D1">
      <w:pPr>
        <w:adjustRightInd/>
        <w:snapToGrid w:val="0"/>
        <w:spacing w:afterLines="50" w:line="22" w:lineRule="atLeast"/>
        <w:jc w:val="both"/>
        <w:rPr>
          <w:b/>
          <w:i/>
        </w:rPr>
      </w:pPr>
      <w:r w:rsidRPr="00910DF5">
        <w:rPr>
          <w:b/>
          <w:i/>
        </w:rPr>
        <w:lastRenderedPageBreak/>
        <w:t>Proposal</w:t>
      </w:r>
      <w:r w:rsidRPr="00910DF5">
        <w:rPr>
          <w:rFonts w:hint="eastAsia"/>
          <w:b/>
          <w:i/>
        </w:rPr>
        <w:t xml:space="preserve"> </w:t>
      </w:r>
      <w:r>
        <w:rPr>
          <w:b/>
          <w:i/>
        </w:rPr>
        <w:t>4</w:t>
      </w:r>
      <w:r w:rsidRPr="00910DF5">
        <w:rPr>
          <w:b/>
          <w:i/>
        </w:rPr>
        <w:t>:</w:t>
      </w:r>
      <w:r w:rsidRPr="00910DF5">
        <w:rPr>
          <w:rFonts w:hint="eastAsia"/>
          <w:b/>
          <w:i/>
        </w:rPr>
        <w:t xml:space="preserve"> </w:t>
      </w:r>
      <w:r>
        <w:rPr>
          <w:b/>
          <w:i/>
        </w:rPr>
        <w:t>NR supports RRC driven mobility based on UE measurements on non-UE specific signals in DL STIs.</w:t>
      </w:r>
    </w:p>
    <w:p w:rsidR="00905C53" w:rsidRPr="00C030FD" w:rsidRDefault="00905C53" w:rsidP="002613D1">
      <w:pPr>
        <w:adjustRightInd/>
        <w:snapToGrid w:val="0"/>
        <w:spacing w:afterLines="50" w:line="22" w:lineRule="atLeast"/>
        <w:jc w:val="both"/>
        <w:rPr>
          <w:b/>
          <w:i/>
        </w:rPr>
      </w:pPr>
      <w:r w:rsidRPr="00910DF5">
        <w:rPr>
          <w:b/>
          <w:i/>
        </w:rPr>
        <w:t>Proposal</w:t>
      </w:r>
      <w:r w:rsidRPr="00910DF5">
        <w:rPr>
          <w:rFonts w:hint="eastAsia"/>
          <w:b/>
          <w:i/>
        </w:rPr>
        <w:t xml:space="preserve"> </w:t>
      </w:r>
      <w:r>
        <w:rPr>
          <w:b/>
          <w:i/>
        </w:rPr>
        <w:t>5</w:t>
      </w:r>
      <w:r w:rsidRPr="00910DF5">
        <w:rPr>
          <w:b/>
          <w:i/>
        </w:rPr>
        <w:t>:</w:t>
      </w:r>
      <w:r w:rsidRPr="00910DF5">
        <w:rPr>
          <w:rFonts w:hint="eastAsia"/>
          <w:b/>
          <w:i/>
        </w:rPr>
        <w:t xml:space="preserve"> </w:t>
      </w:r>
      <w:r>
        <w:rPr>
          <w:b/>
          <w:i/>
        </w:rPr>
        <w:t>NR supports RRC driven mobility based on UE measurements on RS</w:t>
      </w:r>
      <w:r>
        <w:rPr>
          <w:rFonts w:hint="eastAsia"/>
          <w:b/>
          <w:i/>
        </w:rPr>
        <w:t xml:space="preserve"> configured in UE specific manner</w:t>
      </w:r>
      <w:r>
        <w:rPr>
          <w:b/>
          <w:i/>
        </w:rPr>
        <w:t xml:space="preserve">. </w:t>
      </w:r>
    </w:p>
    <w:p w:rsidR="00100B78" w:rsidRDefault="00100B78" w:rsidP="002613D1">
      <w:pPr>
        <w:adjustRightInd/>
        <w:snapToGrid w:val="0"/>
        <w:spacing w:after="120" w:line="22" w:lineRule="atLeast"/>
        <w:jc w:val="both"/>
      </w:pPr>
      <w:r w:rsidRPr="00910DF5">
        <w:rPr>
          <w:b/>
          <w:i/>
        </w:rPr>
        <w:t>Proposal</w:t>
      </w:r>
      <w:r w:rsidRPr="00910DF5">
        <w:rPr>
          <w:rFonts w:hint="eastAsia"/>
          <w:b/>
          <w:i/>
        </w:rPr>
        <w:t xml:space="preserve"> </w:t>
      </w:r>
      <w:r>
        <w:rPr>
          <w:b/>
          <w:i/>
        </w:rPr>
        <w:t>6</w:t>
      </w:r>
      <w:r w:rsidRPr="00910DF5">
        <w:rPr>
          <w:b/>
          <w:i/>
        </w:rPr>
        <w:t>:</w:t>
      </w:r>
      <w:r>
        <w:rPr>
          <w:b/>
          <w:i/>
        </w:rPr>
        <w:t xml:space="preserve"> RAN1 studies connected mobility between synchronized TRPs</w:t>
      </w:r>
      <w:r w:rsidRPr="00F32506">
        <w:rPr>
          <w:b/>
          <w:i/>
        </w:rPr>
        <w:t xml:space="preserve"> </w:t>
      </w:r>
      <w:r>
        <w:rPr>
          <w:b/>
          <w:i/>
        </w:rPr>
        <w:t>with zero/minimum RRC involvement (e.g. at MAC/PHY)</w:t>
      </w:r>
      <w:r w:rsidRPr="00C030FD">
        <w:rPr>
          <w:b/>
          <w:i/>
        </w:rPr>
        <w:t>.</w:t>
      </w:r>
    </w:p>
    <w:p w:rsidR="00A569A4" w:rsidRDefault="00A569A4" w:rsidP="00F1510A">
      <w:pPr>
        <w:pStyle w:val="Heading2"/>
        <w:rPr>
          <w:b/>
        </w:rPr>
      </w:pPr>
      <w:r>
        <w:t>References</w:t>
      </w:r>
    </w:p>
    <w:p w:rsidR="009E555F" w:rsidRDefault="002613D1" w:rsidP="00FC35D7">
      <w:pPr>
        <w:pStyle w:val="ListParagraph"/>
        <w:numPr>
          <w:ilvl w:val="0"/>
          <w:numId w:val="11"/>
        </w:numPr>
        <w:ind w:left="426" w:firstLineChars="0"/>
        <w:jc w:val="both"/>
        <w:rPr>
          <w:iCs/>
          <w:szCs w:val="20"/>
        </w:rPr>
      </w:pPr>
      <w:bookmarkStart w:id="3" w:name="_Ref462778606"/>
      <w:bookmarkStart w:id="4" w:name="OLE_LINK3"/>
      <w:bookmarkStart w:id="5" w:name="OLE_LINK4"/>
      <w:bookmarkStart w:id="6" w:name="_Ref449620942"/>
      <w:r>
        <w:t xml:space="preserve">3GPP </w:t>
      </w:r>
      <w:r w:rsidR="00AB0FB3">
        <w:t>RAN2#94 Chairman’s notes</w:t>
      </w:r>
      <w:bookmarkEnd w:id="3"/>
    </w:p>
    <w:p w:rsidR="00AB0FB3" w:rsidRDefault="002613D1" w:rsidP="00FC35D7">
      <w:pPr>
        <w:pStyle w:val="ListParagraph"/>
        <w:numPr>
          <w:ilvl w:val="0"/>
          <w:numId w:val="11"/>
        </w:numPr>
        <w:ind w:left="426" w:firstLineChars="0"/>
        <w:rPr>
          <w:iCs/>
          <w:szCs w:val="20"/>
        </w:rPr>
      </w:pPr>
      <w:bookmarkStart w:id="7" w:name="_Ref462778614"/>
      <w:bookmarkEnd w:id="4"/>
      <w:bookmarkEnd w:id="5"/>
      <w:r>
        <w:t xml:space="preserve">3GPP </w:t>
      </w:r>
      <w:r w:rsidR="00AB0FB3">
        <w:t>RAN2#95 Chairman’s notes</w:t>
      </w:r>
      <w:bookmarkEnd w:id="7"/>
    </w:p>
    <w:p w:rsidR="00391673" w:rsidRDefault="002613D1" w:rsidP="00FC35D7">
      <w:pPr>
        <w:pStyle w:val="ListParagraph"/>
        <w:numPr>
          <w:ilvl w:val="0"/>
          <w:numId w:val="11"/>
        </w:numPr>
        <w:ind w:left="426" w:firstLineChars="0"/>
        <w:rPr>
          <w:iCs/>
          <w:szCs w:val="20"/>
        </w:rPr>
      </w:pPr>
      <w:bookmarkStart w:id="8" w:name="_Ref462778624"/>
      <w:bookmarkEnd w:id="6"/>
      <w:r>
        <w:rPr>
          <w:iCs/>
          <w:szCs w:val="20"/>
        </w:rPr>
        <w:t xml:space="preserve">3GPP </w:t>
      </w:r>
      <w:r w:rsidR="00AB0FB3">
        <w:rPr>
          <w:iCs/>
          <w:szCs w:val="20"/>
        </w:rPr>
        <w:t>R1-</w:t>
      </w:r>
      <w:r w:rsidR="00E87771" w:rsidRPr="00E87771">
        <w:rPr>
          <w:iCs/>
          <w:szCs w:val="20"/>
        </w:rPr>
        <w:t>1608966</w:t>
      </w:r>
      <w:r w:rsidR="00AB0FB3">
        <w:rPr>
          <w:iCs/>
          <w:szCs w:val="20"/>
        </w:rPr>
        <w:t>, “</w:t>
      </w:r>
      <w:r w:rsidR="00AB0FB3" w:rsidRPr="00AB0FB3">
        <w:rPr>
          <w:iCs/>
          <w:szCs w:val="20"/>
        </w:rPr>
        <w:t>Considerations on Sweeping Time Interval in NR</w:t>
      </w:r>
      <w:r w:rsidR="00AB0FB3">
        <w:rPr>
          <w:iCs/>
          <w:szCs w:val="20"/>
        </w:rPr>
        <w:t>,” ZTE Corporation, ZTE Microelectronics, RAN1#86b, Oct 2016</w:t>
      </w:r>
      <w:bookmarkEnd w:id="8"/>
    </w:p>
    <w:p w:rsidR="00AB0FB3" w:rsidRDefault="002613D1" w:rsidP="00FC35D7">
      <w:pPr>
        <w:pStyle w:val="ListParagraph"/>
        <w:numPr>
          <w:ilvl w:val="0"/>
          <w:numId w:val="11"/>
        </w:numPr>
        <w:ind w:left="426" w:firstLineChars="0"/>
        <w:rPr>
          <w:iCs/>
          <w:szCs w:val="20"/>
        </w:rPr>
      </w:pPr>
      <w:bookmarkStart w:id="9" w:name="_Ref462778656"/>
      <w:r>
        <w:t xml:space="preserve">3GPP </w:t>
      </w:r>
      <w:r w:rsidR="006B176F">
        <w:t>R2-</w:t>
      </w:r>
      <w:r w:rsidR="006B176F" w:rsidRPr="006B176F">
        <w:t>166337</w:t>
      </w:r>
      <w:r w:rsidR="00AB0FB3">
        <w:t>, “</w:t>
      </w:r>
      <w:r w:rsidR="006B176F" w:rsidRPr="006B176F">
        <w:t>Consideration on the Measurement for NR</w:t>
      </w:r>
      <w:r w:rsidR="00AB0FB3">
        <w:t>,”</w:t>
      </w:r>
      <w:r w:rsidR="00AB0FB3" w:rsidRPr="00AB0FB3">
        <w:rPr>
          <w:iCs/>
          <w:szCs w:val="20"/>
        </w:rPr>
        <w:t xml:space="preserve"> </w:t>
      </w:r>
      <w:r w:rsidR="00AB0FB3">
        <w:rPr>
          <w:iCs/>
          <w:szCs w:val="20"/>
        </w:rPr>
        <w:t>ZTE Corporation, ZTE Microelectronics, RAN2#95b, Oct 2016</w:t>
      </w:r>
      <w:bookmarkEnd w:id="9"/>
    </w:p>
    <w:p w:rsidR="009A5D9D" w:rsidRDefault="002613D1" w:rsidP="00FC35D7">
      <w:pPr>
        <w:pStyle w:val="ListParagraph"/>
        <w:numPr>
          <w:ilvl w:val="0"/>
          <w:numId w:val="11"/>
        </w:numPr>
        <w:ind w:left="426" w:firstLineChars="0"/>
        <w:rPr>
          <w:iCs/>
          <w:szCs w:val="20"/>
        </w:rPr>
      </w:pPr>
      <w:bookmarkStart w:id="10" w:name="_Ref462778667"/>
      <w:r>
        <w:t xml:space="preserve">3GPP </w:t>
      </w:r>
      <w:r w:rsidR="009A5D9D">
        <w:t>R1-1</w:t>
      </w:r>
      <w:r w:rsidR="00E87771" w:rsidRPr="00E87771">
        <w:t>608674</w:t>
      </w:r>
      <w:r w:rsidR="009A5D9D">
        <w:t>, “</w:t>
      </w:r>
      <w:r w:rsidR="00E87771" w:rsidRPr="00E87771">
        <w:t>Discussion on measurement related reference signal for NR-MIMO</w:t>
      </w:r>
      <w:r w:rsidR="009A5D9D">
        <w:t xml:space="preserve">,” </w:t>
      </w:r>
      <w:r w:rsidR="009A5D9D">
        <w:rPr>
          <w:iCs/>
          <w:szCs w:val="20"/>
        </w:rPr>
        <w:t>ZTE Corporation, ZTE Microelectronics, RAN1#86b, Oct 2016</w:t>
      </w:r>
      <w:bookmarkEnd w:id="10"/>
    </w:p>
    <w:p w:rsidR="00496CF4" w:rsidRPr="00E87771" w:rsidRDefault="00496CF4" w:rsidP="00E87771">
      <w:pPr>
        <w:ind w:left="66"/>
        <w:rPr>
          <w:iCs/>
          <w:szCs w:val="20"/>
        </w:rPr>
      </w:pPr>
    </w:p>
    <w:sectPr w:rsidR="00496CF4" w:rsidRPr="00E87771" w:rsidSect="0024567E">
      <w:headerReference w:type="default" r:id="rId8"/>
      <w:footerReference w:type="even" r:id="rId9"/>
      <w:footerReference w:type="default" r:id="rId10"/>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43CF" w:rsidRDefault="00A243CF" w:rsidP="00FF0AAD">
      <w:r>
        <w:separator/>
      </w:r>
    </w:p>
  </w:endnote>
  <w:endnote w:type="continuationSeparator" w:id="0">
    <w:p w:rsidR="00A243CF" w:rsidRDefault="00A243CF" w:rsidP="00FF0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801107">
    <w:pPr>
      <w:pStyle w:val="Footer"/>
      <w:framePr w:wrap="around" w:vAnchor="text" w:hAnchor="margin" w:xAlign="right" w:y="1"/>
      <w:rPr>
        <w:rStyle w:val="PageNumber"/>
      </w:rPr>
    </w:pPr>
    <w:r>
      <w:rPr>
        <w:rStyle w:val="PageNumber"/>
      </w:rPr>
      <w:fldChar w:fldCharType="begin"/>
    </w:r>
    <w:r w:rsidR="007561F9">
      <w:rPr>
        <w:rStyle w:val="PageNumber"/>
      </w:rPr>
      <w:instrText xml:space="preserve">PAGE  </w:instrText>
    </w:r>
    <w:r>
      <w:rPr>
        <w:rStyle w:val="PageNumber"/>
      </w:rPr>
      <w:fldChar w:fldCharType="end"/>
    </w:r>
  </w:p>
  <w:p w:rsidR="007561F9" w:rsidRDefault="007561F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43CF" w:rsidRDefault="00A243CF" w:rsidP="00FF0AAD">
      <w:r>
        <w:separator/>
      </w:r>
    </w:p>
  </w:footnote>
  <w:footnote w:type="continuationSeparator" w:id="0">
    <w:p w:rsidR="00A243CF" w:rsidRDefault="00A243CF"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1">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
    <w:nsid w:val="44DB3D08"/>
    <w:multiLevelType w:val="hybridMultilevel"/>
    <w:tmpl w:val="41D858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nsid w:val="5F521A3E"/>
    <w:multiLevelType w:val="hybridMultilevel"/>
    <w:tmpl w:val="14C65EDE"/>
    <w:lvl w:ilvl="0" w:tplc="A7ACDD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
  </w:num>
  <w:num w:numId="3">
    <w:abstractNumId w:val="5"/>
  </w:num>
  <w:num w:numId="4">
    <w:abstractNumId w:val="2"/>
  </w:num>
  <w:num w:numId="5">
    <w:abstractNumId w:val="7"/>
  </w:num>
  <w:num w:numId="6">
    <w:abstractNumId w:val="12"/>
  </w:num>
  <w:num w:numId="7">
    <w:abstractNumId w:val="8"/>
  </w:num>
  <w:num w:numId="8">
    <w:abstractNumId w:val="6"/>
  </w:num>
  <w:num w:numId="9">
    <w:abstractNumId w:val="10"/>
  </w:num>
  <w:num w:numId="10">
    <w:abstractNumId w:val="3"/>
  </w:num>
  <w:num w:numId="11">
    <w:abstractNumId w:val="0"/>
  </w:num>
  <w:num w:numId="12">
    <w:abstractNumId w:val="9"/>
  </w:num>
  <w:num w:numId="13">
    <w:abstractNumId w:val="4"/>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185346"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5A6E"/>
    <w:rsid w:val="00007324"/>
    <w:rsid w:val="0001696F"/>
    <w:rsid w:val="00027F39"/>
    <w:rsid w:val="000314BE"/>
    <w:rsid w:val="0003612C"/>
    <w:rsid w:val="000411C0"/>
    <w:rsid w:val="0004434E"/>
    <w:rsid w:val="00052635"/>
    <w:rsid w:val="00052B94"/>
    <w:rsid w:val="00053328"/>
    <w:rsid w:val="00055C73"/>
    <w:rsid w:val="00060703"/>
    <w:rsid w:val="00060E49"/>
    <w:rsid w:val="000624CA"/>
    <w:rsid w:val="000650EB"/>
    <w:rsid w:val="00065E37"/>
    <w:rsid w:val="0006799E"/>
    <w:rsid w:val="00070277"/>
    <w:rsid w:val="0007080B"/>
    <w:rsid w:val="00070EBD"/>
    <w:rsid w:val="0007169D"/>
    <w:rsid w:val="00072A71"/>
    <w:rsid w:val="0007415F"/>
    <w:rsid w:val="00075E59"/>
    <w:rsid w:val="00077251"/>
    <w:rsid w:val="00077BAE"/>
    <w:rsid w:val="00083A58"/>
    <w:rsid w:val="00083F98"/>
    <w:rsid w:val="00086A29"/>
    <w:rsid w:val="00091B52"/>
    <w:rsid w:val="00092939"/>
    <w:rsid w:val="00095947"/>
    <w:rsid w:val="0009782B"/>
    <w:rsid w:val="000A01F5"/>
    <w:rsid w:val="000A27B9"/>
    <w:rsid w:val="000A2EBC"/>
    <w:rsid w:val="000A32E0"/>
    <w:rsid w:val="000B15C9"/>
    <w:rsid w:val="000B2582"/>
    <w:rsid w:val="000B7610"/>
    <w:rsid w:val="000C1E08"/>
    <w:rsid w:val="000C721B"/>
    <w:rsid w:val="000D5FF3"/>
    <w:rsid w:val="000D65D7"/>
    <w:rsid w:val="000D793E"/>
    <w:rsid w:val="000E3FBD"/>
    <w:rsid w:val="000F4F40"/>
    <w:rsid w:val="00100B78"/>
    <w:rsid w:val="0010212F"/>
    <w:rsid w:val="001072DE"/>
    <w:rsid w:val="00111185"/>
    <w:rsid w:val="00112AC8"/>
    <w:rsid w:val="00116121"/>
    <w:rsid w:val="0011709C"/>
    <w:rsid w:val="00117508"/>
    <w:rsid w:val="00126145"/>
    <w:rsid w:val="00127D7C"/>
    <w:rsid w:val="001318B4"/>
    <w:rsid w:val="00133880"/>
    <w:rsid w:val="00136836"/>
    <w:rsid w:val="00140F02"/>
    <w:rsid w:val="00142EE8"/>
    <w:rsid w:val="00143E06"/>
    <w:rsid w:val="001442F6"/>
    <w:rsid w:val="00145121"/>
    <w:rsid w:val="0014740A"/>
    <w:rsid w:val="001475A2"/>
    <w:rsid w:val="001477A7"/>
    <w:rsid w:val="00151481"/>
    <w:rsid w:val="00157DF3"/>
    <w:rsid w:val="00161014"/>
    <w:rsid w:val="00164066"/>
    <w:rsid w:val="0016721B"/>
    <w:rsid w:val="00171139"/>
    <w:rsid w:val="001721E6"/>
    <w:rsid w:val="001742D5"/>
    <w:rsid w:val="00174436"/>
    <w:rsid w:val="001767E6"/>
    <w:rsid w:val="0018036E"/>
    <w:rsid w:val="00180466"/>
    <w:rsid w:val="001825DA"/>
    <w:rsid w:val="001841A8"/>
    <w:rsid w:val="00184AF5"/>
    <w:rsid w:val="00185733"/>
    <w:rsid w:val="00190A8D"/>
    <w:rsid w:val="00194BDB"/>
    <w:rsid w:val="00196645"/>
    <w:rsid w:val="001A29FE"/>
    <w:rsid w:val="001A5421"/>
    <w:rsid w:val="001A674C"/>
    <w:rsid w:val="001B21A1"/>
    <w:rsid w:val="001B2CDE"/>
    <w:rsid w:val="001B48B3"/>
    <w:rsid w:val="001B7B19"/>
    <w:rsid w:val="001B7CE7"/>
    <w:rsid w:val="001C05BA"/>
    <w:rsid w:val="001C06FA"/>
    <w:rsid w:val="001C3DF5"/>
    <w:rsid w:val="001D1BAF"/>
    <w:rsid w:val="001D5F96"/>
    <w:rsid w:val="001D6048"/>
    <w:rsid w:val="001E0A05"/>
    <w:rsid w:val="001E6124"/>
    <w:rsid w:val="001E6819"/>
    <w:rsid w:val="001F0617"/>
    <w:rsid w:val="001F5B0C"/>
    <w:rsid w:val="0020218A"/>
    <w:rsid w:val="0020686F"/>
    <w:rsid w:val="00217556"/>
    <w:rsid w:val="00220CE0"/>
    <w:rsid w:val="00221120"/>
    <w:rsid w:val="00224645"/>
    <w:rsid w:val="0022556B"/>
    <w:rsid w:val="0022597F"/>
    <w:rsid w:val="00225C26"/>
    <w:rsid w:val="00226D96"/>
    <w:rsid w:val="0022720E"/>
    <w:rsid w:val="00227FD4"/>
    <w:rsid w:val="00233288"/>
    <w:rsid w:val="002333B7"/>
    <w:rsid w:val="00234117"/>
    <w:rsid w:val="002363A9"/>
    <w:rsid w:val="00244D42"/>
    <w:rsid w:val="0024567E"/>
    <w:rsid w:val="00247311"/>
    <w:rsid w:val="002519B7"/>
    <w:rsid w:val="00251E7C"/>
    <w:rsid w:val="002530C6"/>
    <w:rsid w:val="00253440"/>
    <w:rsid w:val="0025650E"/>
    <w:rsid w:val="002613D1"/>
    <w:rsid w:val="00266730"/>
    <w:rsid w:val="00267558"/>
    <w:rsid w:val="0026790F"/>
    <w:rsid w:val="00272467"/>
    <w:rsid w:val="002724C1"/>
    <w:rsid w:val="0027255D"/>
    <w:rsid w:val="00273A29"/>
    <w:rsid w:val="00273DE9"/>
    <w:rsid w:val="00274701"/>
    <w:rsid w:val="0027765B"/>
    <w:rsid w:val="00283F82"/>
    <w:rsid w:val="00284B7D"/>
    <w:rsid w:val="00285137"/>
    <w:rsid w:val="0029127B"/>
    <w:rsid w:val="002938A5"/>
    <w:rsid w:val="00295775"/>
    <w:rsid w:val="002960F4"/>
    <w:rsid w:val="00296698"/>
    <w:rsid w:val="002973B9"/>
    <w:rsid w:val="002973C9"/>
    <w:rsid w:val="002974D4"/>
    <w:rsid w:val="002A2FA8"/>
    <w:rsid w:val="002A3C50"/>
    <w:rsid w:val="002A3E5A"/>
    <w:rsid w:val="002A54A2"/>
    <w:rsid w:val="002B09BE"/>
    <w:rsid w:val="002B40F3"/>
    <w:rsid w:val="002B4D7C"/>
    <w:rsid w:val="002B62A3"/>
    <w:rsid w:val="002B66F7"/>
    <w:rsid w:val="002B6BAA"/>
    <w:rsid w:val="002B7DE8"/>
    <w:rsid w:val="002C09CF"/>
    <w:rsid w:val="002C368B"/>
    <w:rsid w:val="002C370A"/>
    <w:rsid w:val="002C478D"/>
    <w:rsid w:val="002C7B26"/>
    <w:rsid w:val="002D02D4"/>
    <w:rsid w:val="002D10A8"/>
    <w:rsid w:val="002D35FA"/>
    <w:rsid w:val="002D6B6C"/>
    <w:rsid w:val="002E441D"/>
    <w:rsid w:val="002E4C97"/>
    <w:rsid w:val="002E794D"/>
    <w:rsid w:val="002F0126"/>
    <w:rsid w:val="002F2FF2"/>
    <w:rsid w:val="002F3759"/>
    <w:rsid w:val="002F5517"/>
    <w:rsid w:val="002F7C7C"/>
    <w:rsid w:val="0030773F"/>
    <w:rsid w:val="00310A97"/>
    <w:rsid w:val="003128D3"/>
    <w:rsid w:val="00312C1A"/>
    <w:rsid w:val="00312DD1"/>
    <w:rsid w:val="00313E5D"/>
    <w:rsid w:val="0031570F"/>
    <w:rsid w:val="003162A2"/>
    <w:rsid w:val="00320818"/>
    <w:rsid w:val="0033176D"/>
    <w:rsid w:val="00337150"/>
    <w:rsid w:val="00341B32"/>
    <w:rsid w:val="00346CE0"/>
    <w:rsid w:val="003504B5"/>
    <w:rsid w:val="003533A7"/>
    <w:rsid w:val="00360683"/>
    <w:rsid w:val="003631E5"/>
    <w:rsid w:val="003664A9"/>
    <w:rsid w:val="00373017"/>
    <w:rsid w:val="00377306"/>
    <w:rsid w:val="0039092A"/>
    <w:rsid w:val="0039096E"/>
    <w:rsid w:val="00391673"/>
    <w:rsid w:val="00392963"/>
    <w:rsid w:val="003946D4"/>
    <w:rsid w:val="003962AF"/>
    <w:rsid w:val="003969B2"/>
    <w:rsid w:val="003A13E4"/>
    <w:rsid w:val="003A2A06"/>
    <w:rsid w:val="003A3800"/>
    <w:rsid w:val="003A54C5"/>
    <w:rsid w:val="003A6500"/>
    <w:rsid w:val="003B3883"/>
    <w:rsid w:val="003B40ED"/>
    <w:rsid w:val="003B46C8"/>
    <w:rsid w:val="003B5CF4"/>
    <w:rsid w:val="003C18A9"/>
    <w:rsid w:val="003C361A"/>
    <w:rsid w:val="003C3674"/>
    <w:rsid w:val="003C3FCC"/>
    <w:rsid w:val="003C70DA"/>
    <w:rsid w:val="003C7F12"/>
    <w:rsid w:val="003D2D35"/>
    <w:rsid w:val="003D3730"/>
    <w:rsid w:val="003D472E"/>
    <w:rsid w:val="003D4CBE"/>
    <w:rsid w:val="003F043F"/>
    <w:rsid w:val="003F1D01"/>
    <w:rsid w:val="003F28BC"/>
    <w:rsid w:val="003F448B"/>
    <w:rsid w:val="003F546E"/>
    <w:rsid w:val="003F58F6"/>
    <w:rsid w:val="004000BE"/>
    <w:rsid w:val="004019E1"/>
    <w:rsid w:val="00401A8A"/>
    <w:rsid w:val="004043F0"/>
    <w:rsid w:val="0040477F"/>
    <w:rsid w:val="00405E21"/>
    <w:rsid w:val="004074BD"/>
    <w:rsid w:val="00411AA7"/>
    <w:rsid w:val="00412643"/>
    <w:rsid w:val="00412AFA"/>
    <w:rsid w:val="00413229"/>
    <w:rsid w:val="004137FF"/>
    <w:rsid w:val="004143B4"/>
    <w:rsid w:val="004147B5"/>
    <w:rsid w:val="00414D93"/>
    <w:rsid w:val="004163D1"/>
    <w:rsid w:val="00420162"/>
    <w:rsid w:val="0042159B"/>
    <w:rsid w:val="00423C2D"/>
    <w:rsid w:val="00425DF0"/>
    <w:rsid w:val="004265A0"/>
    <w:rsid w:val="00427917"/>
    <w:rsid w:val="00432BCA"/>
    <w:rsid w:val="00435AD0"/>
    <w:rsid w:val="00441AA1"/>
    <w:rsid w:val="00443CA7"/>
    <w:rsid w:val="00446005"/>
    <w:rsid w:val="00446AE1"/>
    <w:rsid w:val="0044782C"/>
    <w:rsid w:val="0046088D"/>
    <w:rsid w:val="00461C5A"/>
    <w:rsid w:val="0046454E"/>
    <w:rsid w:val="004656EE"/>
    <w:rsid w:val="00466205"/>
    <w:rsid w:val="00466A01"/>
    <w:rsid w:val="004756F9"/>
    <w:rsid w:val="00477C38"/>
    <w:rsid w:val="0048006F"/>
    <w:rsid w:val="0048204D"/>
    <w:rsid w:val="004877DF"/>
    <w:rsid w:val="00487887"/>
    <w:rsid w:val="0049275B"/>
    <w:rsid w:val="00493C58"/>
    <w:rsid w:val="00496761"/>
    <w:rsid w:val="00496C3B"/>
    <w:rsid w:val="00496CF4"/>
    <w:rsid w:val="004976F3"/>
    <w:rsid w:val="004A0A1F"/>
    <w:rsid w:val="004B0201"/>
    <w:rsid w:val="004B321C"/>
    <w:rsid w:val="004B77E3"/>
    <w:rsid w:val="004C1005"/>
    <w:rsid w:val="004C145A"/>
    <w:rsid w:val="004C17E9"/>
    <w:rsid w:val="004C46E1"/>
    <w:rsid w:val="004C5861"/>
    <w:rsid w:val="004C63EE"/>
    <w:rsid w:val="004C6A8B"/>
    <w:rsid w:val="004D10DB"/>
    <w:rsid w:val="004D15BB"/>
    <w:rsid w:val="004D1EE6"/>
    <w:rsid w:val="004D28B9"/>
    <w:rsid w:val="004D6142"/>
    <w:rsid w:val="004E72AC"/>
    <w:rsid w:val="004E78E8"/>
    <w:rsid w:val="004F1E6B"/>
    <w:rsid w:val="00501BD7"/>
    <w:rsid w:val="00503289"/>
    <w:rsid w:val="00504BCA"/>
    <w:rsid w:val="00506A83"/>
    <w:rsid w:val="00506DC9"/>
    <w:rsid w:val="0051029C"/>
    <w:rsid w:val="00513F6E"/>
    <w:rsid w:val="00515626"/>
    <w:rsid w:val="00521828"/>
    <w:rsid w:val="00522BE2"/>
    <w:rsid w:val="005253C8"/>
    <w:rsid w:val="005274F3"/>
    <w:rsid w:val="00530886"/>
    <w:rsid w:val="00532C95"/>
    <w:rsid w:val="00532D9C"/>
    <w:rsid w:val="005343AC"/>
    <w:rsid w:val="005363C8"/>
    <w:rsid w:val="00536B5C"/>
    <w:rsid w:val="00546F7A"/>
    <w:rsid w:val="00555AFA"/>
    <w:rsid w:val="005573A0"/>
    <w:rsid w:val="00557A2B"/>
    <w:rsid w:val="00565697"/>
    <w:rsid w:val="00566C02"/>
    <w:rsid w:val="0057083E"/>
    <w:rsid w:val="00570FDA"/>
    <w:rsid w:val="0057681B"/>
    <w:rsid w:val="00580ED6"/>
    <w:rsid w:val="00582975"/>
    <w:rsid w:val="0058346E"/>
    <w:rsid w:val="00584FEA"/>
    <w:rsid w:val="00585079"/>
    <w:rsid w:val="00587EC0"/>
    <w:rsid w:val="00590621"/>
    <w:rsid w:val="0059566C"/>
    <w:rsid w:val="005A0289"/>
    <w:rsid w:val="005A22CF"/>
    <w:rsid w:val="005A41EA"/>
    <w:rsid w:val="005B000C"/>
    <w:rsid w:val="005B0B97"/>
    <w:rsid w:val="005B3EF1"/>
    <w:rsid w:val="005B6C81"/>
    <w:rsid w:val="005C15A0"/>
    <w:rsid w:val="005D4B24"/>
    <w:rsid w:val="005D6743"/>
    <w:rsid w:val="005D680C"/>
    <w:rsid w:val="005E2AE9"/>
    <w:rsid w:val="005F0BCE"/>
    <w:rsid w:val="005F2183"/>
    <w:rsid w:val="005F34F7"/>
    <w:rsid w:val="005F56A6"/>
    <w:rsid w:val="006012C6"/>
    <w:rsid w:val="00602802"/>
    <w:rsid w:val="0060538B"/>
    <w:rsid w:val="00612F9F"/>
    <w:rsid w:val="00613EFD"/>
    <w:rsid w:val="00617630"/>
    <w:rsid w:val="00620346"/>
    <w:rsid w:val="00620555"/>
    <w:rsid w:val="00624BB7"/>
    <w:rsid w:val="00625409"/>
    <w:rsid w:val="0062638D"/>
    <w:rsid w:val="0063642D"/>
    <w:rsid w:val="0064134B"/>
    <w:rsid w:val="006506EE"/>
    <w:rsid w:val="00650B77"/>
    <w:rsid w:val="00656384"/>
    <w:rsid w:val="00657662"/>
    <w:rsid w:val="006653D4"/>
    <w:rsid w:val="00666E6D"/>
    <w:rsid w:val="00667F6E"/>
    <w:rsid w:val="00671904"/>
    <w:rsid w:val="006722CE"/>
    <w:rsid w:val="00676281"/>
    <w:rsid w:val="00677F9F"/>
    <w:rsid w:val="00690BB8"/>
    <w:rsid w:val="0069278C"/>
    <w:rsid w:val="00693A87"/>
    <w:rsid w:val="00696B73"/>
    <w:rsid w:val="006A185C"/>
    <w:rsid w:val="006A4230"/>
    <w:rsid w:val="006A42F6"/>
    <w:rsid w:val="006A6E0F"/>
    <w:rsid w:val="006B176F"/>
    <w:rsid w:val="006B48F1"/>
    <w:rsid w:val="006C2467"/>
    <w:rsid w:val="006C60A2"/>
    <w:rsid w:val="006C720A"/>
    <w:rsid w:val="006C7454"/>
    <w:rsid w:val="006D20FE"/>
    <w:rsid w:val="006D4C4D"/>
    <w:rsid w:val="006D512F"/>
    <w:rsid w:val="006D52EC"/>
    <w:rsid w:val="006D7CA8"/>
    <w:rsid w:val="006E5253"/>
    <w:rsid w:val="006E6B9A"/>
    <w:rsid w:val="006F5508"/>
    <w:rsid w:val="00701EF9"/>
    <w:rsid w:val="007048C3"/>
    <w:rsid w:val="007057D5"/>
    <w:rsid w:val="00710C7C"/>
    <w:rsid w:val="00712655"/>
    <w:rsid w:val="00713CC9"/>
    <w:rsid w:val="00723A10"/>
    <w:rsid w:val="00724B15"/>
    <w:rsid w:val="00726156"/>
    <w:rsid w:val="00732383"/>
    <w:rsid w:val="00732E84"/>
    <w:rsid w:val="00733BDE"/>
    <w:rsid w:val="00737957"/>
    <w:rsid w:val="007477F6"/>
    <w:rsid w:val="0075003C"/>
    <w:rsid w:val="00754C81"/>
    <w:rsid w:val="007561F9"/>
    <w:rsid w:val="00757C50"/>
    <w:rsid w:val="00760049"/>
    <w:rsid w:val="00760131"/>
    <w:rsid w:val="00761F1C"/>
    <w:rsid w:val="0076369E"/>
    <w:rsid w:val="00765BB9"/>
    <w:rsid w:val="00765F0F"/>
    <w:rsid w:val="00766C46"/>
    <w:rsid w:val="00766FA3"/>
    <w:rsid w:val="00771468"/>
    <w:rsid w:val="00772D0C"/>
    <w:rsid w:val="00773E97"/>
    <w:rsid w:val="00784191"/>
    <w:rsid w:val="0078762A"/>
    <w:rsid w:val="007911DF"/>
    <w:rsid w:val="00791A5D"/>
    <w:rsid w:val="00792173"/>
    <w:rsid w:val="00793203"/>
    <w:rsid w:val="007960C4"/>
    <w:rsid w:val="0079666E"/>
    <w:rsid w:val="0079669E"/>
    <w:rsid w:val="00796A2A"/>
    <w:rsid w:val="007971F0"/>
    <w:rsid w:val="007A2A69"/>
    <w:rsid w:val="007A2D26"/>
    <w:rsid w:val="007A412D"/>
    <w:rsid w:val="007B059C"/>
    <w:rsid w:val="007B546D"/>
    <w:rsid w:val="007B7386"/>
    <w:rsid w:val="007C33E4"/>
    <w:rsid w:val="007D3894"/>
    <w:rsid w:val="007D3E2E"/>
    <w:rsid w:val="007E04D4"/>
    <w:rsid w:val="007E267A"/>
    <w:rsid w:val="007E5CF8"/>
    <w:rsid w:val="007E771D"/>
    <w:rsid w:val="007F143F"/>
    <w:rsid w:val="007F3EF2"/>
    <w:rsid w:val="007F538E"/>
    <w:rsid w:val="008010A5"/>
    <w:rsid w:val="00801107"/>
    <w:rsid w:val="00801948"/>
    <w:rsid w:val="00804085"/>
    <w:rsid w:val="00804288"/>
    <w:rsid w:val="0080681C"/>
    <w:rsid w:val="00807778"/>
    <w:rsid w:val="0080786E"/>
    <w:rsid w:val="00812352"/>
    <w:rsid w:val="00813CD3"/>
    <w:rsid w:val="0081518A"/>
    <w:rsid w:val="00815E75"/>
    <w:rsid w:val="00816F96"/>
    <w:rsid w:val="00823E65"/>
    <w:rsid w:val="008244E5"/>
    <w:rsid w:val="00824762"/>
    <w:rsid w:val="0082624D"/>
    <w:rsid w:val="008339F9"/>
    <w:rsid w:val="0083545E"/>
    <w:rsid w:val="00836840"/>
    <w:rsid w:val="00840AB6"/>
    <w:rsid w:val="00842222"/>
    <w:rsid w:val="00842932"/>
    <w:rsid w:val="008459AF"/>
    <w:rsid w:val="00846CBF"/>
    <w:rsid w:val="00846FAB"/>
    <w:rsid w:val="008505E8"/>
    <w:rsid w:val="00852480"/>
    <w:rsid w:val="00853203"/>
    <w:rsid w:val="00853251"/>
    <w:rsid w:val="00856CC3"/>
    <w:rsid w:val="00870BF0"/>
    <w:rsid w:val="00870FE7"/>
    <w:rsid w:val="008716FA"/>
    <w:rsid w:val="00871D7E"/>
    <w:rsid w:val="008721F4"/>
    <w:rsid w:val="00872250"/>
    <w:rsid w:val="00872C28"/>
    <w:rsid w:val="00874050"/>
    <w:rsid w:val="00881A67"/>
    <w:rsid w:val="00886503"/>
    <w:rsid w:val="00893B8E"/>
    <w:rsid w:val="00897F2F"/>
    <w:rsid w:val="008A0730"/>
    <w:rsid w:val="008A1ED0"/>
    <w:rsid w:val="008A2594"/>
    <w:rsid w:val="008A34A6"/>
    <w:rsid w:val="008A4707"/>
    <w:rsid w:val="008A5F17"/>
    <w:rsid w:val="008C2ADD"/>
    <w:rsid w:val="008C4C00"/>
    <w:rsid w:val="008C4EB6"/>
    <w:rsid w:val="008D2554"/>
    <w:rsid w:val="008D347B"/>
    <w:rsid w:val="008D3EF6"/>
    <w:rsid w:val="008E27D5"/>
    <w:rsid w:val="008F03A6"/>
    <w:rsid w:val="0090352C"/>
    <w:rsid w:val="0090427E"/>
    <w:rsid w:val="0090516B"/>
    <w:rsid w:val="00905828"/>
    <w:rsid w:val="00905C53"/>
    <w:rsid w:val="009146DD"/>
    <w:rsid w:val="00915D34"/>
    <w:rsid w:val="00916155"/>
    <w:rsid w:val="00916A11"/>
    <w:rsid w:val="00921D45"/>
    <w:rsid w:val="00931C9D"/>
    <w:rsid w:val="00932248"/>
    <w:rsid w:val="00932BEF"/>
    <w:rsid w:val="00934221"/>
    <w:rsid w:val="0093734D"/>
    <w:rsid w:val="009402E9"/>
    <w:rsid w:val="009433CB"/>
    <w:rsid w:val="009438D0"/>
    <w:rsid w:val="0095082C"/>
    <w:rsid w:val="0096003B"/>
    <w:rsid w:val="009625EF"/>
    <w:rsid w:val="009628AF"/>
    <w:rsid w:val="00971496"/>
    <w:rsid w:val="00971DDC"/>
    <w:rsid w:val="0097265A"/>
    <w:rsid w:val="00972F70"/>
    <w:rsid w:val="009745AB"/>
    <w:rsid w:val="009752FB"/>
    <w:rsid w:val="009810AE"/>
    <w:rsid w:val="009854F3"/>
    <w:rsid w:val="009871A7"/>
    <w:rsid w:val="00991070"/>
    <w:rsid w:val="00991963"/>
    <w:rsid w:val="00992DCD"/>
    <w:rsid w:val="009A5D9D"/>
    <w:rsid w:val="009B147D"/>
    <w:rsid w:val="009B2AA7"/>
    <w:rsid w:val="009B5573"/>
    <w:rsid w:val="009C1507"/>
    <w:rsid w:val="009D03F9"/>
    <w:rsid w:val="009D1A30"/>
    <w:rsid w:val="009D1EE1"/>
    <w:rsid w:val="009D2D92"/>
    <w:rsid w:val="009D31B7"/>
    <w:rsid w:val="009D4E27"/>
    <w:rsid w:val="009D7EE2"/>
    <w:rsid w:val="009E0835"/>
    <w:rsid w:val="009E27A5"/>
    <w:rsid w:val="009E2BBA"/>
    <w:rsid w:val="009E555F"/>
    <w:rsid w:val="009E748B"/>
    <w:rsid w:val="009F35E1"/>
    <w:rsid w:val="009F4300"/>
    <w:rsid w:val="009F5202"/>
    <w:rsid w:val="009F6F2F"/>
    <w:rsid w:val="00A0363B"/>
    <w:rsid w:val="00A044DF"/>
    <w:rsid w:val="00A07D64"/>
    <w:rsid w:val="00A16D4F"/>
    <w:rsid w:val="00A173FB"/>
    <w:rsid w:val="00A22250"/>
    <w:rsid w:val="00A22F3F"/>
    <w:rsid w:val="00A237B2"/>
    <w:rsid w:val="00A243CF"/>
    <w:rsid w:val="00A24CCA"/>
    <w:rsid w:val="00A24F87"/>
    <w:rsid w:val="00A25CF2"/>
    <w:rsid w:val="00A279D4"/>
    <w:rsid w:val="00A27B2A"/>
    <w:rsid w:val="00A31718"/>
    <w:rsid w:val="00A34767"/>
    <w:rsid w:val="00A411EE"/>
    <w:rsid w:val="00A4219D"/>
    <w:rsid w:val="00A508F9"/>
    <w:rsid w:val="00A515D6"/>
    <w:rsid w:val="00A52561"/>
    <w:rsid w:val="00A52FC5"/>
    <w:rsid w:val="00A53FC5"/>
    <w:rsid w:val="00A540F3"/>
    <w:rsid w:val="00A54F01"/>
    <w:rsid w:val="00A55C85"/>
    <w:rsid w:val="00A55F27"/>
    <w:rsid w:val="00A55FA6"/>
    <w:rsid w:val="00A569A4"/>
    <w:rsid w:val="00A57168"/>
    <w:rsid w:val="00A57D7C"/>
    <w:rsid w:val="00A62B1A"/>
    <w:rsid w:val="00A63B04"/>
    <w:rsid w:val="00A71BD4"/>
    <w:rsid w:val="00A72B9C"/>
    <w:rsid w:val="00A7317C"/>
    <w:rsid w:val="00A76243"/>
    <w:rsid w:val="00A762D5"/>
    <w:rsid w:val="00A773F5"/>
    <w:rsid w:val="00A805A8"/>
    <w:rsid w:val="00A80B01"/>
    <w:rsid w:val="00A91ACA"/>
    <w:rsid w:val="00A93646"/>
    <w:rsid w:val="00A945E2"/>
    <w:rsid w:val="00A95088"/>
    <w:rsid w:val="00A95E61"/>
    <w:rsid w:val="00A9638F"/>
    <w:rsid w:val="00AA2D50"/>
    <w:rsid w:val="00AA3CA4"/>
    <w:rsid w:val="00AB0FB3"/>
    <w:rsid w:val="00AB1474"/>
    <w:rsid w:val="00AB4EFA"/>
    <w:rsid w:val="00AC2BD8"/>
    <w:rsid w:val="00AC4276"/>
    <w:rsid w:val="00AC4AAA"/>
    <w:rsid w:val="00AC5A41"/>
    <w:rsid w:val="00AC7216"/>
    <w:rsid w:val="00AD0C4F"/>
    <w:rsid w:val="00AD20A2"/>
    <w:rsid w:val="00AD54E8"/>
    <w:rsid w:val="00AD5E2B"/>
    <w:rsid w:val="00AD5EB6"/>
    <w:rsid w:val="00AE052F"/>
    <w:rsid w:val="00AE26C5"/>
    <w:rsid w:val="00AE3567"/>
    <w:rsid w:val="00AE4706"/>
    <w:rsid w:val="00AE6A29"/>
    <w:rsid w:val="00AE6AE8"/>
    <w:rsid w:val="00AE775A"/>
    <w:rsid w:val="00AE7C57"/>
    <w:rsid w:val="00AF18EF"/>
    <w:rsid w:val="00AF1A64"/>
    <w:rsid w:val="00AF3B2C"/>
    <w:rsid w:val="00B03B2F"/>
    <w:rsid w:val="00B03BCC"/>
    <w:rsid w:val="00B05888"/>
    <w:rsid w:val="00B07901"/>
    <w:rsid w:val="00B1029B"/>
    <w:rsid w:val="00B107DB"/>
    <w:rsid w:val="00B12666"/>
    <w:rsid w:val="00B139DE"/>
    <w:rsid w:val="00B22638"/>
    <w:rsid w:val="00B243F4"/>
    <w:rsid w:val="00B24CFC"/>
    <w:rsid w:val="00B26A4A"/>
    <w:rsid w:val="00B26DD1"/>
    <w:rsid w:val="00B31627"/>
    <w:rsid w:val="00B31DEC"/>
    <w:rsid w:val="00B32C30"/>
    <w:rsid w:val="00B35602"/>
    <w:rsid w:val="00B37427"/>
    <w:rsid w:val="00B40B53"/>
    <w:rsid w:val="00B46077"/>
    <w:rsid w:val="00B55FA9"/>
    <w:rsid w:val="00B56B1F"/>
    <w:rsid w:val="00B578C5"/>
    <w:rsid w:val="00B60DCF"/>
    <w:rsid w:val="00B61268"/>
    <w:rsid w:val="00B72D05"/>
    <w:rsid w:val="00B73E13"/>
    <w:rsid w:val="00B76024"/>
    <w:rsid w:val="00B765A4"/>
    <w:rsid w:val="00B816F5"/>
    <w:rsid w:val="00B8312D"/>
    <w:rsid w:val="00B83E85"/>
    <w:rsid w:val="00B846EC"/>
    <w:rsid w:val="00B86BDA"/>
    <w:rsid w:val="00B87244"/>
    <w:rsid w:val="00B87640"/>
    <w:rsid w:val="00BA1C72"/>
    <w:rsid w:val="00BA48BD"/>
    <w:rsid w:val="00BB6344"/>
    <w:rsid w:val="00BC0F95"/>
    <w:rsid w:val="00BC1F67"/>
    <w:rsid w:val="00BC2EC5"/>
    <w:rsid w:val="00BC7528"/>
    <w:rsid w:val="00BC7924"/>
    <w:rsid w:val="00BD1F36"/>
    <w:rsid w:val="00BD285A"/>
    <w:rsid w:val="00BD42C1"/>
    <w:rsid w:val="00BD4AC8"/>
    <w:rsid w:val="00BE2E7D"/>
    <w:rsid w:val="00BF2C7E"/>
    <w:rsid w:val="00BF4E61"/>
    <w:rsid w:val="00C02F16"/>
    <w:rsid w:val="00C030FD"/>
    <w:rsid w:val="00C062F6"/>
    <w:rsid w:val="00C115D4"/>
    <w:rsid w:val="00C16D62"/>
    <w:rsid w:val="00C24819"/>
    <w:rsid w:val="00C30640"/>
    <w:rsid w:val="00C3079E"/>
    <w:rsid w:val="00C33CBA"/>
    <w:rsid w:val="00C42297"/>
    <w:rsid w:val="00C44689"/>
    <w:rsid w:val="00C47ABD"/>
    <w:rsid w:val="00C50168"/>
    <w:rsid w:val="00C516B7"/>
    <w:rsid w:val="00C53622"/>
    <w:rsid w:val="00C54982"/>
    <w:rsid w:val="00C5567E"/>
    <w:rsid w:val="00C573D9"/>
    <w:rsid w:val="00C66B5A"/>
    <w:rsid w:val="00C7277F"/>
    <w:rsid w:val="00C73478"/>
    <w:rsid w:val="00C766A6"/>
    <w:rsid w:val="00C81BB1"/>
    <w:rsid w:val="00C8562D"/>
    <w:rsid w:val="00C86B00"/>
    <w:rsid w:val="00C86B68"/>
    <w:rsid w:val="00C93EDD"/>
    <w:rsid w:val="00C953EF"/>
    <w:rsid w:val="00C97311"/>
    <w:rsid w:val="00CA1AEB"/>
    <w:rsid w:val="00CA32E5"/>
    <w:rsid w:val="00CA7B1E"/>
    <w:rsid w:val="00CC0088"/>
    <w:rsid w:val="00CC39FD"/>
    <w:rsid w:val="00CD3FBE"/>
    <w:rsid w:val="00CD478F"/>
    <w:rsid w:val="00CE1B6E"/>
    <w:rsid w:val="00CE4DE5"/>
    <w:rsid w:val="00CF356A"/>
    <w:rsid w:val="00CF527B"/>
    <w:rsid w:val="00D00BD8"/>
    <w:rsid w:val="00D02F5A"/>
    <w:rsid w:val="00D0360C"/>
    <w:rsid w:val="00D04B88"/>
    <w:rsid w:val="00D12160"/>
    <w:rsid w:val="00D15C08"/>
    <w:rsid w:val="00D15E25"/>
    <w:rsid w:val="00D22B56"/>
    <w:rsid w:val="00D2405C"/>
    <w:rsid w:val="00D25CA2"/>
    <w:rsid w:val="00D26398"/>
    <w:rsid w:val="00D273EF"/>
    <w:rsid w:val="00D2780E"/>
    <w:rsid w:val="00D32A1B"/>
    <w:rsid w:val="00D3302E"/>
    <w:rsid w:val="00D45706"/>
    <w:rsid w:val="00D462B9"/>
    <w:rsid w:val="00D51AB5"/>
    <w:rsid w:val="00D5308D"/>
    <w:rsid w:val="00D53D01"/>
    <w:rsid w:val="00D56DBA"/>
    <w:rsid w:val="00D62003"/>
    <w:rsid w:val="00D673E0"/>
    <w:rsid w:val="00D70674"/>
    <w:rsid w:val="00D7074E"/>
    <w:rsid w:val="00D72F23"/>
    <w:rsid w:val="00D743AA"/>
    <w:rsid w:val="00D76E1B"/>
    <w:rsid w:val="00D8248D"/>
    <w:rsid w:val="00D82A53"/>
    <w:rsid w:val="00D83034"/>
    <w:rsid w:val="00D85273"/>
    <w:rsid w:val="00D876F7"/>
    <w:rsid w:val="00D9131C"/>
    <w:rsid w:val="00D93AC6"/>
    <w:rsid w:val="00D93B0C"/>
    <w:rsid w:val="00D96FEA"/>
    <w:rsid w:val="00DA12AB"/>
    <w:rsid w:val="00DA19C6"/>
    <w:rsid w:val="00DA5597"/>
    <w:rsid w:val="00DA7C4F"/>
    <w:rsid w:val="00DA7D2F"/>
    <w:rsid w:val="00DB292F"/>
    <w:rsid w:val="00DB5B00"/>
    <w:rsid w:val="00DC254A"/>
    <w:rsid w:val="00DC4081"/>
    <w:rsid w:val="00DD34F8"/>
    <w:rsid w:val="00DD646B"/>
    <w:rsid w:val="00DD71A4"/>
    <w:rsid w:val="00DD785D"/>
    <w:rsid w:val="00DE0E7D"/>
    <w:rsid w:val="00DE31A3"/>
    <w:rsid w:val="00DE54C5"/>
    <w:rsid w:val="00DF219B"/>
    <w:rsid w:val="00DF25FD"/>
    <w:rsid w:val="00DF56D1"/>
    <w:rsid w:val="00DF65B2"/>
    <w:rsid w:val="00DF6FEC"/>
    <w:rsid w:val="00E0055C"/>
    <w:rsid w:val="00E00801"/>
    <w:rsid w:val="00E0278A"/>
    <w:rsid w:val="00E03A4D"/>
    <w:rsid w:val="00E051E3"/>
    <w:rsid w:val="00E05567"/>
    <w:rsid w:val="00E06260"/>
    <w:rsid w:val="00E07960"/>
    <w:rsid w:val="00E1495E"/>
    <w:rsid w:val="00E14F87"/>
    <w:rsid w:val="00E153F6"/>
    <w:rsid w:val="00E20171"/>
    <w:rsid w:val="00E3415B"/>
    <w:rsid w:val="00E34CA4"/>
    <w:rsid w:val="00E35457"/>
    <w:rsid w:val="00E35B00"/>
    <w:rsid w:val="00E4164A"/>
    <w:rsid w:val="00E43842"/>
    <w:rsid w:val="00E4509B"/>
    <w:rsid w:val="00E4633B"/>
    <w:rsid w:val="00E47699"/>
    <w:rsid w:val="00E47AE4"/>
    <w:rsid w:val="00E52E3C"/>
    <w:rsid w:val="00E53CC2"/>
    <w:rsid w:val="00E540F5"/>
    <w:rsid w:val="00E569C1"/>
    <w:rsid w:val="00E57329"/>
    <w:rsid w:val="00E6253B"/>
    <w:rsid w:val="00E631F7"/>
    <w:rsid w:val="00E75AF8"/>
    <w:rsid w:val="00E77CC4"/>
    <w:rsid w:val="00E80D8D"/>
    <w:rsid w:val="00E87771"/>
    <w:rsid w:val="00E91BDE"/>
    <w:rsid w:val="00E943EE"/>
    <w:rsid w:val="00E95BF2"/>
    <w:rsid w:val="00E97D96"/>
    <w:rsid w:val="00EA4B8A"/>
    <w:rsid w:val="00EA5B9D"/>
    <w:rsid w:val="00EA622C"/>
    <w:rsid w:val="00EB0370"/>
    <w:rsid w:val="00EB434B"/>
    <w:rsid w:val="00EC162F"/>
    <w:rsid w:val="00EC363B"/>
    <w:rsid w:val="00ED1A2D"/>
    <w:rsid w:val="00ED2C69"/>
    <w:rsid w:val="00ED600D"/>
    <w:rsid w:val="00ED7545"/>
    <w:rsid w:val="00EE01E9"/>
    <w:rsid w:val="00EE5769"/>
    <w:rsid w:val="00EE6CB7"/>
    <w:rsid w:val="00EF09A6"/>
    <w:rsid w:val="00EF4D67"/>
    <w:rsid w:val="00F001B4"/>
    <w:rsid w:val="00F00FAE"/>
    <w:rsid w:val="00F01A21"/>
    <w:rsid w:val="00F055EA"/>
    <w:rsid w:val="00F1145E"/>
    <w:rsid w:val="00F1510A"/>
    <w:rsid w:val="00F15DDF"/>
    <w:rsid w:val="00F17791"/>
    <w:rsid w:val="00F22144"/>
    <w:rsid w:val="00F313F6"/>
    <w:rsid w:val="00F3170B"/>
    <w:rsid w:val="00F32506"/>
    <w:rsid w:val="00F40727"/>
    <w:rsid w:val="00F422C3"/>
    <w:rsid w:val="00F423D3"/>
    <w:rsid w:val="00F42709"/>
    <w:rsid w:val="00F43013"/>
    <w:rsid w:val="00F44478"/>
    <w:rsid w:val="00F56558"/>
    <w:rsid w:val="00F57C13"/>
    <w:rsid w:val="00F610CA"/>
    <w:rsid w:val="00F7227E"/>
    <w:rsid w:val="00F8225E"/>
    <w:rsid w:val="00F924D8"/>
    <w:rsid w:val="00F96864"/>
    <w:rsid w:val="00FA10BA"/>
    <w:rsid w:val="00FA4444"/>
    <w:rsid w:val="00FA6853"/>
    <w:rsid w:val="00FA75B7"/>
    <w:rsid w:val="00FB01B6"/>
    <w:rsid w:val="00FB1555"/>
    <w:rsid w:val="00FB29EF"/>
    <w:rsid w:val="00FB412A"/>
    <w:rsid w:val="00FB7DA0"/>
    <w:rsid w:val="00FC35D7"/>
    <w:rsid w:val="00FC4E76"/>
    <w:rsid w:val="00FC74EF"/>
    <w:rsid w:val="00FC7B21"/>
    <w:rsid w:val="00FD6B97"/>
    <w:rsid w:val="00FE18BD"/>
    <w:rsid w:val="00FE2656"/>
    <w:rsid w:val="00FE2682"/>
    <w:rsid w:val="00FE5A94"/>
    <w:rsid w:val="00FF0AAD"/>
    <w:rsid w:val="00FF2308"/>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534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customStyle="1" w:styleId="Doc-text2">
    <w:name w:val="Doc-text2"/>
    <w:basedOn w:val="Normal"/>
    <w:link w:val="Doc-text2Char"/>
    <w:qFormat/>
    <w:rsid w:val="00724B15"/>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724B15"/>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BD6272-5324-4230-958B-2E643C7CB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1906</TotalTime>
  <Pages>4</Pages>
  <Words>1423</Words>
  <Characters>8115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Yifei Yuan</cp:lastModifiedBy>
  <cp:revision>76</cp:revision>
  <cp:lastPrinted>2016-09-15T07:38:00Z</cp:lastPrinted>
  <dcterms:created xsi:type="dcterms:W3CDTF">2016-09-16T06:54:00Z</dcterms:created>
  <dcterms:modified xsi:type="dcterms:W3CDTF">2016-10-01T01:35:00Z</dcterms:modified>
</cp:coreProperties>
</file>